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00E7D" w14:textId="77777777" w:rsidR="005A3774" w:rsidRDefault="005A3774" w:rsidP="007B16E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14:paraId="288C2FD2" w14:textId="13F94F35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  <w:r w:rsidRPr="00984430">
        <w:rPr>
          <w:rFonts w:ascii="Arial" w:hAnsi="Arial" w:cs="Arial"/>
          <w:b/>
          <w:bCs/>
        </w:rPr>
        <w:t>PROJETO DE LEI Nº 06/2025</w:t>
      </w:r>
      <w:r w:rsidRPr="00984430">
        <w:rPr>
          <w:rFonts w:ascii="Arial" w:hAnsi="Arial" w:cs="Arial"/>
        </w:rPr>
        <w:t>. Dispõe sobre abertura de crédito suplementar no valor de R$ 5.983.319,70 (cinco milhões novecentos e oitenta e três mil trezentos e dezenove reais e setenta centavos), que especifica. (contratação de Organização Social em Saúde)</w:t>
      </w:r>
    </w:p>
    <w:p w14:paraId="33C73370" w14:textId="77777777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</w:p>
    <w:p w14:paraId="13FE69BF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3FCC67EB" w14:textId="1C5D2D8F" w:rsidR="00984430" w:rsidRDefault="00984430" w:rsidP="00984430">
      <w:pPr>
        <w:pStyle w:val="SemEspaamento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PARECER DA COMISSÃO DE JUSTIÇA E REDAÇÃO</w:t>
      </w:r>
      <w:r>
        <w:rPr>
          <w:rFonts w:ascii="Arial" w:hAnsi="Arial" w:cs="Arial"/>
        </w:rPr>
        <w:t xml:space="preserve"> </w:t>
      </w:r>
    </w:p>
    <w:p w14:paraId="1FBB6DD4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74710E1E" w14:textId="77777777" w:rsidR="00984430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Diante das atribuições pertinentes a COMISSÃO DE JUSTIÇA E REDAÇÃO</w:t>
      </w:r>
    </w:p>
    <w:p w14:paraId="64718F2B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(vide art. 76 da Resolução 64, de 09 de dezembro de 2002 - RICMB) passamos a emitir nosso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parecer a respeito da propositura em epígrafe, o qual dispõe sobre a abertura de crédito adicional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suplementar referido na epígrafe.</w:t>
      </w:r>
      <w:r>
        <w:rPr>
          <w:rFonts w:ascii="Arial" w:hAnsi="Arial" w:cs="Arial"/>
        </w:rPr>
        <w:t xml:space="preserve"> </w:t>
      </w:r>
    </w:p>
    <w:p w14:paraId="3421597A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09212842" w14:textId="77777777" w:rsidR="00984430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Assim, antes de qualquer coisa, entendemos fundamental esclarecer que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créditos adicionais são as autorizações de despesas não computadas ou insuficientemente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dotadas na Lei Orçamentária Anual. É o que consta do art. 40, da Lei Federal nº 4.320/64.</w:t>
      </w:r>
      <w:r>
        <w:rPr>
          <w:rFonts w:ascii="Arial" w:hAnsi="Arial" w:cs="Arial"/>
        </w:rPr>
        <w:t xml:space="preserve"> </w:t>
      </w:r>
    </w:p>
    <w:p w14:paraId="4BC8E5BE" w14:textId="77777777" w:rsidR="00984430" w:rsidRDefault="00984430" w:rsidP="00984430">
      <w:pPr>
        <w:pStyle w:val="SemEspaamento"/>
        <w:ind w:firstLine="708"/>
        <w:jc w:val="both"/>
        <w:rPr>
          <w:rFonts w:ascii="Arial" w:hAnsi="Arial" w:cs="Arial"/>
        </w:rPr>
      </w:pPr>
    </w:p>
    <w:p w14:paraId="30378644" w14:textId="58122957" w:rsidR="00984430" w:rsidRDefault="00984430" w:rsidP="00984430">
      <w:pPr>
        <w:pStyle w:val="SemEspaamento"/>
        <w:ind w:firstLine="1416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Nesse sentido, é certo que os créditos adicionais se classificam em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suplementares, especiais e extraordinários. Os suplementares destinam-se ao reforço de dotação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orçamentária, ao passo que os especiais se destinam a despesas para as quais não haja dotação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orçamentária específica e, finalmente, os extraordinários destinam-se a despesas urgentes e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imprevistas, em caso de guerra, comoção intestina ou calamidade pública, tudo conforme consta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do art. 41, da lei federal acima referida.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Isto posto, passamos ao parecer.</w:t>
      </w:r>
    </w:p>
    <w:p w14:paraId="757D9D22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br/>
        <w:t>EXAME DO REPERTÓRIO LEGAL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DA CONSTITUIÇÃO FEDERAL DE 1988.</w:t>
      </w:r>
    </w:p>
    <w:p w14:paraId="20BBBA58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3754D133" w14:textId="77777777" w:rsidR="00984430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Na espécie que o parecer focaliza, é claro o artigo 30, inciso I, no que</w:t>
      </w:r>
      <w:r w:rsidRPr="00252664">
        <w:rPr>
          <w:rFonts w:ascii="Arial" w:hAnsi="Arial" w:cs="Arial"/>
        </w:rPr>
        <w:br/>
        <w:t>concerne a competência do município em legislar sobre assuntos de interesse local. Assim, nota-se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claramente a competência municipal para legislar acerca da matéria trazida a baila pela presente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propositura, dado que a abertura de crédito adicional no orçamento municipal se insere,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inegavelmente, dentre os assuntos de interesse local. Ademais, a CF/88 prevê mais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especificamente em seu artigo 167, inciso V, que poderão ser abertos créditos adicionais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condicionados à prévia autorização legislativa.</w:t>
      </w:r>
      <w:r>
        <w:rPr>
          <w:rFonts w:ascii="Arial" w:hAnsi="Arial" w:cs="Arial"/>
        </w:rPr>
        <w:t xml:space="preserve"> </w:t>
      </w:r>
    </w:p>
    <w:p w14:paraId="307FC9CF" w14:textId="5129454F" w:rsidR="00984430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Portanto, o que o Poder Executivo busca nesse momento, através de LEI, é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apenas a AUTORIZAÇÃO LEGISLATIVA.</w:t>
      </w:r>
      <w:r>
        <w:rPr>
          <w:rFonts w:ascii="Arial" w:hAnsi="Arial" w:cs="Arial"/>
        </w:rPr>
        <w:t xml:space="preserve"> </w:t>
      </w:r>
    </w:p>
    <w:p w14:paraId="316DD6DA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5DD83C11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DA LEI ORGÂNICA DO MUNICÍPIO DE BEBEDOURO</w:t>
      </w:r>
    </w:p>
    <w:p w14:paraId="4B852DF8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</w:p>
    <w:p w14:paraId="4F415C1C" w14:textId="77777777" w:rsidR="00984430" w:rsidRDefault="00984430" w:rsidP="00984430">
      <w:pPr>
        <w:pStyle w:val="SemEspaamento"/>
        <w:jc w:val="both"/>
        <w:rPr>
          <w:rFonts w:ascii="Arial" w:hAnsi="Arial" w:cs="Arial"/>
        </w:rPr>
      </w:pPr>
      <w:r w:rsidRPr="00252664">
        <w:rPr>
          <w:rFonts w:ascii="Arial" w:hAnsi="Arial" w:cs="Arial"/>
        </w:rPr>
        <w:t>O artigo 58, inciso IV, da LOMB versa acerca de algumas matérias reservadas</w:t>
      </w:r>
      <w:r w:rsidRPr="00252664">
        <w:rPr>
          <w:rFonts w:ascii="Arial" w:hAnsi="Arial" w:cs="Arial"/>
        </w:rPr>
        <w:br/>
        <w:t>à competência exclusiva do Prefeito Municipal, dentre as quais estão as matérias orçamentárias,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bem como as autorizações para abertura de créditos adicionais, que se envolvem intimamente</w:t>
      </w:r>
      <w:r>
        <w:rPr>
          <w:rFonts w:ascii="Arial" w:hAnsi="Arial" w:cs="Arial"/>
        </w:rPr>
        <w:t xml:space="preserve"> </w:t>
      </w:r>
      <w:r w:rsidRPr="00252664">
        <w:rPr>
          <w:rFonts w:ascii="Arial" w:hAnsi="Arial" w:cs="Arial"/>
        </w:rPr>
        <w:t>com o orçamento municipal:</w:t>
      </w:r>
    </w:p>
    <w:p w14:paraId="3B8585D5" w14:textId="79B5D75F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  <w:r w:rsidRPr="00984430">
        <w:rPr>
          <w:rFonts w:ascii="Arial" w:hAnsi="Arial" w:cs="Arial"/>
        </w:rPr>
        <w:t>ART. 58 – Compete exclusivamente ao Prefeito</w:t>
      </w:r>
      <w:r w:rsidRPr="00984430">
        <w:rPr>
          <w:rFonts w:ascii="Arial" w:hAnsi="Arial" w:cs="Arial"/>
        </w:rPr>
        <w:br/>
        <w:t>Municipal a iniciativa do Projeto de Lei que disponha</w:t>
      </w:r>
      <w:r w:rsidRPr="00984430">
        <w:rPr>
          <w:rFonts w:ascii="Arial" w:hAnsi="Arial" w:cs="Arial"/>
        </w:rPr>
        <w:br/>
        <w:t>sobre:</w:t>
      </w:r>
      <w:r w:rsidRPr="00984430">
        <w:rPr>
          <w:rFonts w:ascii="Arial" w:hAnsi="Arial" w:cs="Arial"/>
        </w:rPr>
        <w:br/>
        <w:t>IV - matéria orçamentária e a que autorize a abertura</w:t>
      </w:r>
      <w:r>
        <w:rPr>
          <w:rFonts w:ascii="Arial" w:hAnsi="Arial" w:cs="Arial"/>
        </w:rPr>
        <w:t xml:space="preserve"> </w:t>
      </w:r>
      <w:r w:rsidRPr="00984430">
        <w:rPr>
          <w:rFonts w:ascii="Arial" w:hAnsi="Arial" w:cs="Arial"/>
        </w:rPr>
        <w:t>de créditos adicionais ou conceda auxílios, prêmios ou</w:t>
      </w:r>
      <w:r w:rsidRPr="00984430">
        <w:rPr>
          <w:rFonts w:ascii="Arial" w:hAnsi="Arial" w:cs="Arial"/>
        </w:rPr>
        <w:br/>
        <w:t>subvenções;</w:t>
      </w:r>
    </w:p>
    <w:p w14:paraId="35F4AA8F" w14:textId="77777777" w:rsidR="00984430" w:rsidRDefault="00984430" w:rsidP="00984430">
      <w:pPr>
        <w:pStyle w:val="SemEspaamento"/>
        <w:ind w:left="3828"/>
        <w:jc w:val="both"/>
        <w:rPr>
          <w:rFonts w:ascii="Arial" w:hAnsi="Arial" w:cs="Arial"/>
        </w:rPr>
      </w:pPr>
    </w:p>
    <w:p w14:paraId="508A6197" w14:textId="77777777" w:rsidR="0031296C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984430">
        <w:rPr>
          <w:rFonts w:ascii="Arial" w:hAnsi="Arial" w:cs="Arial"/>
        </w:rPr>
        <w:t>Neste aspecto, portanto, inegável que a INICIATIVA da presente propositura</w:t>
      </w:r>
      <w:r w:rsidRPr="00984430">
        <w:rPr>
          <w:rFonts w:ascii="Arial" w:hAnsi="Arial" w:cs="Arial"/>
        </w:rPr>
        <w:br/>
        <w:t>partiu justamente de quem tinha competência para fazê-lo. Assim, não há que se falar em vício de</w:t>
      </w:r>
      <w:r w:rsidR="0031296C">
        <w:rPr>
          <w:rFonts w:ascii="Arial" w:hAnsi="Arial" w:cs="Arial"/>
        </w:rPr>
        <w:t xml:space="preserve"> </w:t>
      </w:r>
      <w:r w:rsidRPr="00984430">
        <w:rPr>
          <w:rFonts w:ascii="Arial" w:hAnsi="Arial" w:cs="Arial"/>
        </w:rPr>
        <w:t>iniciativa quanto à matéria proposta.</w:t>
      </w:r>
    </w:p>
    <w:p w14:paraId="6D79741B" w14:textId="77777777" w:rsidR="0031296C" w:rsidRDefault="0031296C" w:rsidP="0031296C">
      <w:pPr>
        <w:pStyle w:val="SemEspaamento"/>
        <w:jc w:val="both"/>
        <w:rPr>
          <w:rFonts w:ascii="Arial" w:hAnsi="Arial" w:cs="Arial"/>
        </w:rPr>
      </w:pPr>
    </w:p>
    <w:p w14:paraId="3F8A1531" w14:textId="2F5BBD49" w:rsidR="0031296C" w:rsidRDefault="00984430" w:rsidP="0031296C">
      <w:pPr>
        <w:pStyle w:val="SemEspaamento"/>
        <w:jc w:val="both"/>
        <w:rPr>
          <w:rFonts w:ascii="Arial" w:hAnsi="Arial" w:cs="Arial"/>
        </w:rPr>
      </w:pPr>
      <w:r w:rsidRPr="00984430">
        <w:rPr>
          <w:rFonts w:ascii="Arial" w:hAnsi="Arial" w:cs="Arial"/>
        </w:rPr>
        <w:t>DA LEI FEDERAL Nº 4.320/64</w:t>
      </w:r>
    </w:p>
    <w:p w14:paraId="20BF2F04" w14:textId="77777777" w:rsidR="0031296C" w:rsidRDefault="0031296C" w:rsidP="0031296C">
      <w:pPr>
        <w:pStyle w:val="SemEspaamento"/>
        <w:jc w:val="both"/>
        <w:rPr>
          <w:rFonts w:ascii="Arial" w:hAnsi="Arial" w:cs="Arial"/>
        </w:rPr>
      </w:pPr>
    </w:p>
    <w:p w14:paraId="5FF23A37" w14:textId="77777777" w:rsidR="0031296C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984430">
        <w:rPr>
          <w:rFonts w:ascii="Arial" w:hAnsi="Arial" w:cs="Arial"/>
        </w:rPr>
        <w:t>Cuidou o autor do projeto de observar o artigo 167, inciso V, da Constituição</w:t>
      </w:r>
      <w:r w:rsidRPr="00984430">
        <w:rPr>
          <w:rFonts w:ascii="Arial" w:hAnsi="Arial" w:cs="Arial"/>
        </w:rPr>
        <w:br/>
        <w:t>Federal, na medida em que ele esclarece que, por ocasião da abertura do crédito, que se dará por</w:t>
      </w:r>
      <w:r w:rsidR="0031296C">
        <w:rPr>
          <w:rFonts w:ascii="Arial" w:hAnsi="Arial" w:cs="Arial"/>
        </w:rPr>
        <w:t xml:space="preserve"> </w:t>
      </w:r>
      <w:r w:rsidRPr="00984430">
        <w:rPr>
          <w:rFonts w:ascii="Arial" w:hAnsi="Arial" w:cs="Arial"/>
        </w:rPr>
        <w:t>decreto executivo (vide art. 3º do projeto), é que será indicada a disponibilidade de recursos para</w:t>
      </w:r>
      <w:r w:rsidR="0031296C">
        <w:rPr>
          <w:rFonts w:ascii="Arial" w:hAnsi="Arial" w:cs="Arial"/>
        </w:rPr>
        <w:t xml:space="preserve"> </w:t>
      </w:r>
      <w:r w:rsidRPr="00984430">
        <w:rPr>
          <w:rFonts w:ascii="Arial" w:hAnsi="Arial" w:cs="Arial"/>
        </w:rPr>
        <w:t>cobrir o crédito adicional em questão.</w:t>
      </w:r>
      <w:r w:rsidR="0031296C">
        <w:rPr>
          <w:rFonts w:ascii="Arial" w:hAnsi="Arial" w:cs="Arial"/>
        </w:rPr>
        <w:t xml:space="preserve"> </w:t>
      </w:r>
    </w:p>
    <w:p w14:paraId="6360047D" w14:textId="6AB04B03" w:rsidR="00984430" w:rsidRDefault="00984430" w:rsidP="00984430">
      <w:pPr>
        <w:pStyle w:val="SemEspaamento"/>
        <w:ind w:firstLine="1418"/>
        <w:jc w:val="both"/>
        <w:rPr>
          <w:rFonts w:ascii="Arial" w:hAnsi="Arial" w:cs="Arial"/>
        </w:rPr>
      </w:pPr>
      <w:r w:rsidRPr="00984430">
        <w:rPr>
          <w:rFonts w:ascii="Arial" w:hAnsi="Arial" w:cs="Arial"/>
        </w:rPr>
        <w:t>Nesse sentido, a questão comporta alguns esclarecimentos. Pois, verifica-se</w:t>
      </w:r>
      <w:r w:rsidR="0031296C">
        <w:rPr>
          <w:rFonts w:ascii="Arial" w:hAnsi="Arial" w:cs="Arial"/>
        </w:rPr>
        <w:t xml:space="preserve"> </w:t>
      </w:r>
      <w:r w:rsidRPr="00984430">
        <w:rPr>
          <w:rFonts w:ascii="Arial" w:hAnsi="Arial" w:cs="Arial"/>
        </w:rPr>
        <w:t>do artigo 42, da Lei 4.320, de 17 de março de 1964, que</w:t>
      </w:r>
      <w:r w:rsidR="0031296C">
        <w:rPr>
          <w:rFonts w:ascii="Arial" w:hAnsi="Arial" w:cs="Arial"/>
        </w:rPr>
        <w:t>:</w:t>
      </w:r>
    </w:p>
    <w:p w14:paraId="1BA99606" w14:textId="77777777" w:rsidR="0031296C" w:rsidRDefault="0031296C" w:rsidP="00984430">
      <w:pPr>
        <w:pStyle w:val="SemEspaamento"/>
        <w:ind w:firstLine="1418"/>
        <w:jc w:val="both"/>
        <w:rPr>
          <w:rFonts w:ascii="Arial" w:hAnsi="Arial" w:cs="Arial"/>
        </w:rPr>
      </w:pPr>
    </w:p>
    <w:p w14:paraId="4A8CAA52" w14:textId="15D3F709" w:rsidR="0031296C" w:rsidRDefault="0031296C" w:rsidP="0031296C">
      <w:pPr>
        <w:pStyle w:val="SemEspaamento"/>
        <w:ind w:left="3828"/>
        <w:jc w:val="both"/>
        <w:rPr>
          <w:rFonts w:ascii="Arial" w:hAnsi="Arial" w:cs="Arial"/>
        </w:rPr>
      </w:pPr>
      <w:r w:rsidRPr="0031296C">
        <w:rPr>
          <w:rFonts w:ascii="Arial" w:hAnsi="Arial" w:cs="Arial"/>
        </w:rPr>
        <w:t>Art. 42. Os créditos suplementares e especiais serão</w:t>
      </w:r>
      <w:r>
        <w:rPr>
          <w:rFonts w:ascii="Arial" w:hAnsi="Arial" w:cs="Arial"/>
        </w:rPr>
        <w:t xml:space="preserve"> </w:t>
      </w:r>
      <w:r w:rsidRPr="0031296C">
        <w:rPr>
          <w:rFonts w:ascii="Arial" w:hAnsi="Arial" w:cs="Arial"/>
        </w:rPr>
        <w:t>autorizados por lei e abertos por decreto executivo.</w:t>
      </w:r>
    </w:p>
    <w:p w14:paraId="6C1260FE" w14:textId="77777777" w:rsidR="0031296C" w:rsidRDefault="0031296C" w:rsidP="0031296C">
      <w:pPr>
        <w:pStyle w:val="SemEspaamento"/>
        <w:jc w:val="both"/>
        <w:rPr>
          <w:rFonts w:ascii="Arial" w:hAnsi="Arial" w:cs="Arial"/>
        </w:rPr>
      </w:pPr>
    </w:p>
    <w:p w14:paraId="049D6973" w14:textId="12CF4300" w:rsidR="0031296C" w:rsidRDefault="0031296C" w:rsidP="0031296C">
      <w:pPr>
        <w:pStyle w:val="SemEspaamen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31296C">
        <w:rPr>
          <w:rFonts w:ascii="Arial" w:hAnsi="Arial" w:cs="Arial"/>
        </w:rPr>
        <w:t>donde temos, que a “</w:t>
      </w:r>
      <w:r w:rsidRPr="0031296C">
        <w:rPr>
          <w:rFonts w:ascii="Arial" w:hAnsi="Arial" w:cs="Arial"/>
          <w:b/>
          <w:bCs/>
        </w:rPr>
        <w:t>autorização por lei</w:t>
      </w:r>
      <w:r w:rsidRPr="0031296C">
        <w:rPr>
          <w:rFonts w:ascii="Arial" w:hAnsi="Arial" w:cs="Arial"/>
        </w:rPr>
        <w:t>” e a “</w:t>
      </w:r>
      <w:r w:rsidRPr="0031296C">
        <w:rPr>
          <w:rFonts w:ascii="Arial" w:hAnsi="Arial" w:cs="Arial"/>
          <w:b/>
          <w:bCs/>
        </w:rPr>
        <w:t>abertura por decreto</w:t>
      </w:r>
      <w:r w:rsidRPr="0031296C">
        <w:rPr>
          <w:rFonts w:ascii="Arial" w:hAnsi="Arial" w:cs="Arial"/>
        </w:rPr>
        <w:t>” são dois atos distintos,</w:t>
      </w:r>
      <w:r>
        <w:rPr>
          <w:rFonts w:ascii="Arial" w:hAnsi="Arial" w:cs="Arial"/>
        </w:rPr>
        <w:t xml:space="preserve"> </w:t>
      </w:r>
      <w:r w:rsidRPr="0031296C">
        <w:rPr>
          <w:rFonts w:ascii="Arial" w:hAnsi="Arial" w:cs="Arial"/>
        </w:rPr>
        <w:t>cabendo-nos, por ora, abordarmos tão somente a questão da autorização legislativa.</w:t>
      </w:r>
    </w:p>
    <w:p w14:paraId="7390F190" w14:textId="79B50E2F" w:rsidR="00CD6926" w:rsidRDefault="0031296C" w:rsidP="0031296C">
      <w:pPr>
        <w:pStyle w:val="SemEspaamento"/>
        <w:ind w:firstLine="1276"/>
        <w:jc w:val="both"/>
        <w:rPr>
          <w:rFonts w:ascii="Arial" w:hAnsi="Arial" w:cs="Arial"/>
          <w:b/>
          <w:u w:val="single"/>
        </w:rPr>
      </w:pPr>
      <w:r w:rsidRPr="0031296C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</w:t>
      </w:r>
      <w:r w:rsidRPr="0031296C">
        <w:rPr>
          <w:rFonts w:ascii="Arial" w:hAnsi="Arial" w:cs="Arial"/>
        </w:rPr>
        <w:t>Assim, muito embora possam surgir algumas dúvidas acerca da indicação</w:t>
      </w:r>
      <w:r w:rsidRPr="0031296C">
        <w:rPr>
          <w:rFonts w:ascii="Arial" w:hAnsi="Arial" w:cs="Arial"/>
        </w:rPr>
        <w:br/>
        <w:t>dos recursos disponíveis para ocorrer às despesas especificadas no art. 1º, temos como certo que</w:t>
      </w:r>
      <w:r>
        <w:rPr>
          <w:rFonts w:ascii="Arial" w:hAnsi="Arial" w:cs="Arial"/>
        </w:rPr>
        <w:t xml:space="preserve"> </w:t>
      </w:r>
      <w:r w:rsidRPr="0031296C">
        <w:rPr>
          <w:rFonts w:ascii="Arial" w:hAnsi="Arial" w:cs="Arial"/>
        </w:rPr>
        <w:t>tal indicação somente será necessária, por ocasião da efetiva ABERTURA DO CRÉDITO cuja</w:t>
      </w:r>
      <w:r>
        <w:rPr>
          <w:rFonts w:ascii="Arial" w:hAnsi="Arial" w:cs="Arial"/>
        </w:rPr>
        <w:t xml:space="preserve"> </w:t>
      </w:r>
      <w:r w:rsidRPr="0031296C">
        <w:rPr>
          <w:rFonts w:ascii="Arial" w:hAnsi="Arial" w:cs="Arial"/>
        </w:rPr>
        <w:t>autorização ora se busca. Vai nesse sentido, não só o artigo 167, inciso V, da CF, como também o</w:t>
      </w:r>
      <w:r>
        <w:rPr>
          <w:rFonts w:ascii="Arial" w:hAnsi="Arial" w:cs="Arial"/>
        </w:rPr>
        <w:t xml:space="preserve"> </w:t>
      </w:r>
      <w:r w:rsidRPr="0031296C">
        <w:rPr>
          <w:rFonts w:ascii="Arial" w:hAnsi="Arial" w:cs="Arial"/>
        </w:rPr>
        <w:t>artigo 43, da Lei 4.320/64, dispositivos estes que rezam com clareza o seguinte:</w:t>
      </w:r>
      <w:r w:rsidR="00984430">
        <w:rPr>
          <w:rFonts w:ascii="Arial" w:hAnsi="Arial" w:cs="Arial"/>
        </w:rPr>
        <w:t xml:space="preserve">              </w:t>
      </w:r>
    </w:p>
    <w:p w14:paraId="585BB1D3" w14:textId="77777777" w:rsidR="0031296C" w:rsidRDefault="0031296C" w:rsidP="0031296C">
      <w:pPr>
        <w:overflowPunct w:val="0"/>
        <w:autoSpaceDE w:val="0"/>
        <w:autoSpaceDN w:val="0"/>
        <w:adjustRightInd w:val="0"/>
        <w:ind w:left="3969" w:right="-57"/>
        <w:jc w:val="both"/>
        <w:textAlignment w:val="baseline"/>
        <w:rPr>
          <w:rFonts w:ascii="Arial" w:hAnsi="Arial" w:cs="Arial"/>
          <w:bCs/>
        </w:rPr>
      </w:pPr>
      <w:r w:rsidRPr="0031296C">
        <w:rPr>
          <w:rFonts w:ascii="Arial" w:hAnsi="Arial" w:cs="Arial"/>
          <w:bCs/>
        </w:rPr>
        <w:t>Art. 167. São vedados:</w:t>
      </w:r>
    </w:p>
    <w:p w14:paraId="1A901155" w14:textId="50C1CB69" w:rsidR="00CD6926" w:rsidRDefault="0031296C" w:rsidP="0031296C">
      <w:pPr>
        <w:overflowPunct w:val="0"/>
        <w:autoSpaceDE w:val="0"/>
        <w:autoSpaceDN w:val="0"/>
        <w:adjustRightInd w:val="0"/>
        <w:ind w:left="3969" w:right="-57"/>
        <w:jc w:val="both"/>
        <w:textAlignment w:val="baseline"/>
        <w:rPr>
          <w:rFonts w:ascii="Arial" w:hAnsi="Arial" w:cs="Arial"/>
          <w:bCs/>
        </w:rPr>
      </w:pPr>
      <w:r w:rsidRPr="0031296C">
        <w:rPr>
          <w:rFonts w:ascii="Arial" w:hAnsi="Arial" w:cs="Arial"/>
          <w:bCs/>
        </w:rPr>
        <w:t>V – a abertura de crédito suplementar ou especial sem</w:t>
      </w:r>
      <w:r w:rsidRPr="0031296C">
        <w:rPr>
          <w:rFonts w:ascii="Arial" w:hAnsi="Arial" w:cs="Arial"/>
          <w:bCs/>
        </w:rPr>
        <w:br/>
        <w:t>prévia autorização legislativa e sem indicação dos</w:t>
      </w:r>
      <w:r w:rsidRPr="0031296C">
        <w:rPr>
          <w:rFonts w:ascii="Arial" w:hAnsi="Arial" w:cs="Arial"/>
          <w:bCs/>
        </w:rPr>
        <w:br/>
        <w:t>recursos correspondentes</w:t>
      </w:r>
      <w:r>
        <w:rPr>
          <w:rFonts w:ascii="Arial" w:hAnsi="Arial" w:cs="Arial"/>
          <w:bCs/>
        </w:rPr>
        <w:t>;</w:t>
      </w:r>
    </w:p>
    <w:p w14:paraId="7AA505E4" w14:textId="77777777" w:rsidR="0031296C" w:rsidRDefault="0031296C" w:rsidP="0031296C">
      <w:pPr>
        <w:overflowPunct w:val="0"/>
        <w:autoSpaceDE w:val="0"/>
        <w:autoSpaceDN w:val="0"/>
        <w:adjustRightInd w:val="0"/>
        <w:ind w:left="3969" w:right="-57"/>
        <w:jc w:val="both"/>
        <w:textAlignment w:val="baseline"/>
        <w:rPr>
          <w:rFonts w:ascii="Arial" w:hAnsi="Arial" w:cs="Arial"/>
          <w:bCs/>
        </w:rPr>
      </w:pPr>
    </w:p>
    <w:p w14:paraId="2383502B" w14:textId="2F12FF43" w:rsidR="0031296C" w:rsidRDefault="0031296C" w:rsidP="0031296C">
      <w:pPr>
        <w:overflowPunct w:val="0"/>
        <w:autoSpaceDE w:val="0"/>
        <w:autoSpaceDN w:val="0"/>
        <w:adjustRightInd w:val="0"/>
        <w:ind w:left="3969" w:right="-57"/>
        <w:jc w:val="both"/>
        <w:textAlignment w:val="baseline"/>
        <w:rPr>
          <w:rFonts w:ascii="Arial" w:hAnsi="Arial" w:cs="Arial"/>
          <w:bCs/>
        </w:rPr>
      </w:pPr>
      <w:r w:rsidRPr="0031296C">
        <w:rPr>
          <w:rFonts w:ascii="Arial" w:hAnsi="Arial" w:cs="Arial"/>
          <w:bCs/>
        </w:rPr>
        <w:t>Art. 43. A abertura dos créditos suplementares e</w:t>
      </w:r>
      <w:r w:rsidRPr="0031296C">
        <w:rPr>
          <w:rFonts w:ascii="Arial" w:hAnsi="Arial" w:cs="Arial"/>
          <w:bCs/>
        </w:rPr>
        <w:br/>
        <w:t>especiais depende da existência de recursos disponíveis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para ocorrer à despesa e será precedida de exposição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justificativa.</w:t>
      </w:r>
    </w:p>
    <w:p w14:paraId="2E391137" w14:textId="77777777" w:rsidR="0031296C" w:rsidRDefault="0031296C" w:rsidP="0031296C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31296C">
        <w:rPr>
          <w:rFonts w:ascii="Arial" w:hAnsi="Arial" w:cs="Arial"/>
          <w:bCs/>
        </w:rPr>
        <w:t>de modo que, por ocasião da edição do Decreto (vide art. 42, da Lei Federal nº 4.320/64),</w:t>
      </w:r>
      <w:r w:rsidRPr="0031296C">
        <w:rPr>
          <w:rFonts w:ascii="Arial" w:hAnsi="Arial" w:cs="Arial"/>
          <w:bCs/>
        </w:rPr>
        <w:br/>
        <w:t>indispensável será a INDICAÇÃO DOS RECURSOS DISPONÍVEIS em atendimento aos artigos acima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mencionados, bem como indispensável será a indicação da importância, a espécie do mesmo e a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classificação da despesa, até onde for possível, conforme determina o artigo 46, da Lei 4.320/64.</w:t>
      </w:r>
      <w:r>
        <w:rPr>
          <w:rFonts w:ascii="Arial" w:hAnsi="Arial" w:cs="Arial"/>
          <w:bCs/>
        </w:rPr>
        <w:t xml:space="preserve"> </w:t>
      </w:r>
    </w:p>
    <w:p w14:paraId="2C5937F5" w14:textId="77777777" w:rsidR="0031296C" w:rsidRDefault="0031296C" w:rsidP="0031296C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7F94C9F2" w14:textId="77777777" w:rsidR="0031296C" w:rsidRDefault="0031296C" w:rsidP="0031296C">
      <w:pPr>
        <w:overflowPunct w:val="0"/>
        <w:autoSpaceDE w:val="0"/>
        <w:autoSpaceDN w:val="0"/>
        <w:adjustRightInd w:val="0"/>
        <w:ind w:right="-57" w:firstLine="1276"/>
        <w:jc w:val="both"/>
        <w:textAlignment w:val="baseline"/>
        <w:rPr>
          <w:rFonts w:ascii="Arial" w:hAnsi="Arial" w:cs="Arial"/>
          <w:bCs/>
        </w:rPr>
      </w:pPr>
      <w:r w:rsidRPr="0031296C">
        <w:rPr>
          <w:rFonts w:ascii="Arial" w:hAnsi="Arial" w:cs="Arial"/>
          <w:bCs/>
        </w:rPr>
        <w:t>Portanto, muito embora fique o Poder Executivo autorizado desde já à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abertura do crédito adicional, tal abertura somente ocorrerá efetivamente com a edição do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decreto executivo no qual deverá conter obrigatoriamente a indicação da disponibilidade de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recursos.</w:t>
      </w:r>
      <w:r>
        <w:rPr>
          <w:rFonts w:ascii="Arial" w:hAnsi="Arial" w:cs="Arial"/>
          <w:bCs/>
        </w:rPr>
        <w:t xml:space="preserve"> </w:t>
      </w:r>
    </w:p>
    <w:p w14:paraId="1105D3F4" w14:textId="6B0024E8" w:rsidR="0031296C" w:rsidRDefault="0031296C" w:rsidP="0031296C">
      <w:pPr>
        <w:overflowPunct w:val="0"/>
        <w:autoSpaceDE w:val="0"/>
        <w:autoSpaceDN w:val="0"/>
        <w:adjustRightInd w:val="0"/>
        <w:ind w:right="-57" w:firstLine="1276"/>
        <w:jc w:val="both"/>
        <w:textAlignment w:val="baseline"/>
        <w:rPr>
          <w:rFonts w:ascii="Arial" w:hAnsi="Arial" w:cs="Arial"/>
          <w:bCs/>
        </w:rPr>
      </w:pPr>
      <w:r w:rsidRPr="0031296C">
        <w:rPr>
          <w:rFonts w:ascii="Arial" w:hAnsi="Arial" w:cs="Arial"/>
          <w:bCs/>
        </w:rPr>
        <w:t>A respeito do tema, Hely Lopes Meirelles (vide Direito Municipal Brasileiro,</w:t>
      </w:r>
      <w:r>
        <w:rPr>
          <w:rFonts w:ascii="Arial" w:hAnsi="Arial" w:cs="Arial"/>
          <w:bCs/>
        </w:rPr>
        <w:t xml:space="preserve"> </w:t>
      </w:r>
      <w:r w:rsidRPr="0031296C">
        <w:rPr>
          <w:rFonts w:ascii="Arial" w:hAnsi="Arial" w:cs="Arial"/>
          <w:bCs/>
        </w:rPr>
        <w:t>14ª edição, Malheiros Editores, pág. 743) ensina:</w:t>
      </w:r>
    </w:p>
    <w:p w14:paraId="6C621874" w14:textId="77777777" w:rsidR="00326D9E" w:rsidRDefault="00326D9E" w:rsidP="00326D9E">
      <w:pPr>
        <w:overflowPunct w:val="0"/>
        <w:autoSpaceDE w:val="0"/>
        <w:autoSpaceDN w:val="0"/>
        <w:adjustRightInd w:val="0"/>
        <w:ind w:left="4111" w:right="-57"/>
        <w:jc w:val="both"/>
        <w:textAlignment w:val="baseline"/>
        <w:rPr>
          <w:rFonts w:ascii="Arial" w:hAnsi="Arial" w:cs="Arial"/>
          <w:bCs/>
        </w:rPr>
      </w:pPr>
    </w:p>
    <w:p w14:paraId="62390D10" w14:textId="77777777" w:rsidR="00326D9E" w:rsidRDefault="00326D9E" w:rsidP="00326D9E">
      <w:pPr>
        <w:overflowPunct w:val="0"/>
        <w:autoSpaceDE w:val="0"/>
        <w:autoSpaceDN w:val="0"/>
        <w:adjustRightInd w:val="0"/>
        <w:ind w:left="4111" w:right="-57"/>
        <w:jc w:val="both"/>
        <w:textAlignment w:val="baseline"/>
        <w:rPr>
          <w:rFonts w:ascii="Arial" w:hAnsi="Arial" w:cs="Arial"/>
          <w:bCs/>
        </w:rPr>
      </w:pPr>
    </w:p>
    <w:p w14:paraId="298105E2" w14:textId="77777777" w:rsidR="00326D9E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/>
        </w:rPr>
        <w:lastRenderedPageBreak/>
        <w:t>Os créditos</w:t>
      </w:r>
      <w:r w:rsidRPr="00326D9E">
        <w:rPr>
          <w:rFonts w:ascii="Arial" w:hAnsi="Arial" w:cs="Arial"/>
          <w:bCs/>
        </w:rPr>
        <w:t xml:space="preserve"> suplementares são os que se destinam </w:t>
      </w:r>
      <w:proofErr w:type="spellStart"/>
      <w:r w:rsidRPr="00326D9E">
        <w:rPr>
          <w:rFonts w:ascii="Arial" w:hAnsi="Arial" w:cs="Arial"/>
          <w:bCs/>
        </w:rPr>
        <w:t>aeforço</w:t>
      </w:r>
      <w:proofErr w:type="spellEnd"/>
      <w:r w:rsidRPr="00326D9E">
        <w:rPr>
          <w:rFonts w:ascii="Arial" w:hAnsi="Arial" w:cs="Arial"/>
          <w:bCs/>
        </w:rPr>
        <w:t xml:space="preserve"> das dotações orçamentárias das despesas. São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normalmente autorizados por lei especial e abertos por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decreto do Executivo. Mas a lei orçamentária também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pode fazê-lo, consoante o permite a constituição da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República (art. 165, §8º). (...)</w:t>
      </w:r>
      <w:r>
        <w:rPr>
          <w:rFonts w:ascii="Arial" w:hAnsi="Arial" w:cs="Arial"/>
          <w:bCs/>
        </w:rPr>
        <w:t xml:space="preserve"> </w:t>
      </w:r>
    </w:p>
    <w:p w14:paraId="7B9F1F3D" w14:textId="77777777" w:rsidR="00326D9E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/>
        </w:rPr>
        <w:t>Os créditos especiais</w:t>
      </w:r>
      <w:r w:rsidRPr="00326D9E">
        <w:rPr>
          <w:rFonts w:ascii="Arial" w:hAnsi="Arial" w:cs="Arial"/>
          <w:bCs/>
        </w:rPr>
        <w:t xml:space="preserve"> destinam-se a despesas para as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quais não haja dotação orçamentária específica. São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autorizados pela Câmara e abertos por decreto do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Executivo. Esses créditos só se justificam quando as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despesas imprevistas a que visam ocorrer, surgidas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posteriormente à elaboração do orçamento, não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encontrem cobertura nos recursos da reserva de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contingência. De outra parte, é através da utilização de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créditos especiais que se tornam disponíveis os recursos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que, em decorrência de veto, emenda ou rejeição do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projeto de LOA, ficarem sem despesas correspondentes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(CF, art. 166, §8º).</w:t>
      </w:r>
      <w:r>
        <w:rPr>
          <w:rFonts w:ascii="Arial" w:hAnsi="Arial" w:cs="Arial"/>
          <w:bCs/>
        </w:rPr>
        <w:t xml:space="preserve"> </w:t>
      </w:r>
    </w:p>
    <w:p w14:paraId="67F59D7B" w14:textId="55CB844B" w:rsidR="00326D9E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Cs/>
        </w:rPr>
        <w:t>Tanto a abertura de créditos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suplementares como a de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especiais dependem da existência de recursos disponíveis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para a despesa e serão precedidas de exposição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justificativa. Tais recursos provirão do superávit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financeiro apurado em balanço patrimonial do exercício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anterior; do excesso de arrecadação; da anulação parcial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ou total de dotações orçamentárias ou de créditos</w:t>
      </w:r>
    </w:p>
    <w:p w14:paraId="56A74CDD" w14:textId="77777777" w:rsidR="00326D9E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</w:p>
    <w:p w14:paraId="296FF7D0" w14:textId="77777777" w:rsidR="00326D9E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Cs/>
        </w:rPr>
        <w:t>adicionais autorizados e não utilizados; ou do produto de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operações autorizadas, em forma que juridicamente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possibilite ao Poder executivo realiza-la. A Lei 4.320, de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1964, nos §§2º e 3º, do art. 43, diz o que se deve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entender por superávit e excesso de arrecadação.</w:t>
      </w:r>
      <w:r w:rsidRPr="00326D9E">
        <w:rPr>
          <w:rFonts w:ascii="Arial" w:hAnsi="Arial" w:cs="Arial"/>
          <w:bCs/>
        </w:rPr>
        <w:br/>
      </w:r>
    </w:p>
    <w:p w14:paraId="28163F75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Cs/>
        </w:rPr>
        <w:t>Diante do exposto, não encontramos qualquer vício de competência ou de</w:t>
      </w:r>
      <w:r w:rsidRPr="00326D9E">
        <w:rPr>
          <w:rFonts w:ascii="Arial" w:hAnsi="Arial" w:cs="Arial"/>
          <w:bCs/>
        </w:rPr>
        <w:br/>
        <w:t>legalidade que macule a iniciativa contida na propositura em foco. Nesse sentido, uma vez</w:t>
      </w:r>
      <w:r w:rsidRPr="00326D9E">
        <w:rPr>
          <w:rFonts w:ascii="Arial" w:hAnsi="Arial" w:cs="Arial"/>
          <w:bCs/>
        </w:rPr>
        <w:br/>
        <w:t>atendidos os dispositivos de lei acima mencionados, não encontramos óbice à aprovação desta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>propositura desde que sejam observados os artigos 16 e 17 da Lei de Responsabilidade Fiscal.</w:t>
      </w:r>
    </w:p>
    <w:p w14:paraId="5CE6C6F1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4D770F5D" w14:textId="4F45ED0F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r w:rsidRPr="00326D9E">
        <w:rPr>
          <w:rFonts w:ascii="Arial" w:hAnsi="Arial" w:cs="Arial"/>
          <w:bCs/>
        </w:rPr>
        <w:t>É nosso parecer, s.m.j.</w:t>
      </w:r>
      <w:r>
        <w:rPr>
          <w:rFonts w:ascii="Arial" w:hAnsi="Arial" w:cs="Arial"/>
          <w:bCs/>
        </w:rPr>
        <w:t xml:space="preserve"> </w:t>
      </w:r>
      <w:r w:rsidRPr="00326D9E">
        <w:rPr>
          <w:rFonts w:ascii="Arial" w:hAnsi="Arial" w:cs="Arial"/>
          <w:bCs/>
        </w:rPr>
        <w:t xml:space="preserve">Bebedouro, Capital Nacional da Laranja, </w:t>
      </w:r>
      <w:r>
        <w:rPr>
          <w:rFonts w:ascii="Arial" w:hAnsi="Arial" w:cs="Arial"/>
          <w:bCs/>
        </w:rPr>
        <w:t>10</w:t>
      </w:r>
      <w:r w:rsidRPr="00326D9E">
        <w:rPr>
          <w:rFonts w:ascii="Arial" w:hAnsi="Arial" w:cs="Arial"/>
          <w:bCs/>
        </w:rPr>
        <w:t xml:space="preserve"> de fevereiro de 2025.</w:t>
      </w:r>
    </w:p>
    <w:p w14:paraId="59B63B9A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4E50B6ED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  <w:bookmarkStart w:id="0" w:name="_GoBack"/>
      <w:bookmarkEnd w:id="0"/>
    </w:p>
    <w:p w14:paraId="0ADF8EBD" w14:textId="77777777" w:rsidR="00326D9E" w:rsidRDefault="00326D9E" w:rsidP="00326D9E">
      <w:pPr>
        <w:overflowPunct w:val="0"/>
        <w:autoSpaceDE w:val="0"/>
        <w:autoSpaceDN w:val="0"/>
        <w:adjustRightInd w:val="0"/>
        <w:ind w:right="-57"/>
        <w:jc w:val="both"/>
        <w:textAlignment w:val="baseline"/>
        <w:rPr>
          <w:rFonts w:ascii="Arial" w:hAnsi="Arial" w:cs="Arial"/>
          <w:bCs/>
        </w:rPr>
      </w:pPr>
    </w:p>
    <w:p w14:paraId="23A40B15" w14:textId="1C4D5CA6" w:rsidR="00326D9E" w:rsidRDefault="00326D9E" w:rsidP="00326D9E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Otávio</w:t>
      </w:r>
      <w:r w:rsidR="00315D53">
        <w:rPr>
          <w:rFonts w:ascii="Arial" w:hAnsi="Arial" w:cs="Arial"/>
          <w:bCs/>
        </w:rPr>
        <w:t xml:space="preserve"> A. Y. </w:t>
      </w:r>
      <w:proofErr w:type="spellStart"/>
      <w:r>
        <w:rPr>
          <w:rFonts w:ascii="Arial" w:hAnsi="Arial" w:cs="Arial"/>
          <w:bCs/>
        </w:rPr>
        <w:t>Manzi</w:t>
      </w:r>
      <w:proofErr w:type="spellEnd"/>
      <w:r>
        <w:rPr>
          <w:rFonts w:ascii="Arial" w:hAnsi="Arial" w:cs="Arial"/>
          <w:bCs/>
        </w:rPr>
        <w:t xml:space="preserve">                        Jorge</w:t>
      </w:r>
      <w:r w:rsidR="00315D53">
        <w:rPr>
          <w:rFonts w:ascii="Arial" w:hAnsi="Arial" w:cs="Arial"/>
          <w:bCs/>
        </w:rPr>
        <w:t xml:space="preserve"> E. </w:t>
      </w:r>
      <w:r>
        <w:rPr>
          <w:rFonts w:ascii="Arial" w:hAnsi="Arial" w:cs="Arial"/>
          <w:bCs/>
        </w:rPr>
        <w:t>Cardoso</w:t>
      </w:r>
      <w:r w:rsidR="00315D53">
        <w:rPr>
          <w:rFonts w:ascii="Arial" w:hAnsi="Arial" w:cs="Arial"/>
          <w:bCs/>
        </w:rPr>
        <w:t xml:space="preserve"> Rocha</w:t>
      </w:r>
      <w:r>
        <w:rPr>
          <w:rFonts w:ascii="Arial" w:hAnsi="Arial" w:cs="Arial"/>
          <w:bCs/>
        </w:rPr>
        <w:t xml:space="preserve">              L</w:t>
      </w:r>
      <w:r w:rsidR="00315D53">
        <w:rPr>
          <w:rFonts w:ascii="Arial" w:hAnsi="Arial" w:cs="Arial"/>
          <w:bCs/>
        </w:rPr>
        <w:t xml:space="preserve">eonardo M. </w:t>
      </w:r>
      <w:r>
        <w:rPr>
          <w:rFonts w:ascii="Arial" w:hAnsi="Arial" w:cs="Arial"/>
          <w:bCs/>
        </w:rPr>
        <w:t>Munhoz</w:t>
      </w:r>
    </w:p>
    <w:p w14:paraId="6B55EB04" w14:textId="44A3C1CB" w:rsidR="00326D9E" w:rsidRPr="00326D9E" w:rsidRDefault="00315D53" w:rsidP="00326D9E">
      <w:pPr>
        <w:overflowPunct w:val="0"/>
        <w:autoSpaceDE w:val="0"/>
        <w:autoSpaceDN w:val="0"/>
        <w:adjustRightInd w:val="0"/>
        <w:ind w:right="-5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</w:t>
      </w:r>
      <w:r w:rsidR="00326D9E">
        <w:rPr>
          <w:rFonts w:ascii="Arial" w:hAnsi="Arial" w:cs="Arial"/>
          <w:bCs/>
        </w:rPr>
        <w:t xml:space="preserve">PRESIDENTE                               RELATOR                           </w:t>
      </w:r>
      <w:r>
        <w:rPr>
          <w:rFonts w:ascii="Arial" w:hAnsi="Arial" w:cs="Arial"/>
          <w:bCs/>
        </w:rPr>
        <w:t xml:space="preserve">       </w:t>
      </w:r>
      <w:r w:rsidR="00326D9E">
        <w:rPr>
          <w:rFonts w:ascii="Arial" w:hAnsi="Arial" w:cs="Arial"/>
          <w:bCs/>
        </w:rPr>
        <w:t xml:space="preserve">     MEMBRO </w:t>
      </w:r>
    </w:p>
    <w:p w14:paraId="644AC3CF" w14:textId="77777777" w:rsidR="00326D9E" w:rsidRPr="0031296C" w:rsidRDefault="00326D9E" w:rsidP="00326D9E">
      <w:pPr>
        <w:overflowPunct w:val="0"/>
        <w:autoSpaceDE w:val="0"/>
        <w:autoSpaceDN w:val="0"/>
        <w:adjustRightInd w:val="0"/>
        <w:ind w:left="4111" w:right="-57" w:firstLine="137"/>
        <w:jc w:val="both"/>
        <w:textAlignment w:val="baseline"/>
        <w:rPr>
          <w:rFonts w:ascii="Arial" w:hAnsi="Arial" w:cs="Arial"/>
          <w:bCs/>
        </w:rPr>
      </w:pPr>
    </w:p>
    <w:p w14:paraId="3E4BC62A" w14:textId="77777777" w:rsidR="00991FAE" w:rsidRPr="00B078B0" w:rsidRDefault="00991FAE" w:rsidP="00991FAE">
      <w:pPr>
        <w:jc w:val="both"/>
        <w:rPr>
          <w:rFonts w:ascii="Calibri" w:hAnsi="Calibri" w:cs="Calibri"/>
        </w:rPr>
      </w:pPr>
    </w:p>
    <w:sectPr w:rsidR="00991FAE" w:rsidRPr="00B078B0" w:rsidSect="0031296C">
      <w:headerReference w:type="default" r:id="rId7"/>
      <w:footerReference w:type="default" r:id="rId8"/>
      <w:pgSz w:w="11907" w:h="16840" w:code="9"/>
      <w:pgMar w:top="1701" w:right="1134" w:bottom="898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A9D5" w14:textId="77777777" w:rsidR="003017F4" w:rsidRDefault="003017F4">
      <w:r>
        <w:separator/>
      </w:r>
    </w:p>
  </w:endnote>
  <w:endnote w:type="continuationSeparator" w:id="0">
    <w:p w14:paraId="124FF392" w14:textId="77777777" w:rsidR="003017F4" w:rsidRDefault="0030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78C06" w14:textId="77777777" w:rsidR="00303797" w:rsidRPr="007B16ED" w:rsidRDefault="00303797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14:paraId="307398F3" w14:textId="77777777"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14:paraId="5DBF62CA" w14:textId="77777777" w:rsidR="00303797" w:rsidRDefault="00303797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1AD7" w14:textId="77777777" w:rsidR="003017F4" w:rsidRDefault="003017F4">
      <w:r>
        <w:separator/>
      </w:r>
    </w:p>
  </w:footnote>
  <w:footnote w:type="continuationSeparator" w:id="0">
    <w:p w14:paraId="6E39A329" w14:textId="77777777" w:rsidR="003017F4" w:rsidRDefault="0030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A2C14" w14:textId="77777777" w:rsidR="00303797" w:rsidRPr="00FB78C9" w:rsidRDefault="0098443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DA33A7" wp14:editId="56FC5A78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0080795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78E67" w14:textId="77777777" w:rsidR="00303797" w:rsidRDefault="009844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7BBA1" wp14:editId="67E5C6A2">
                                <wp:extent cx="1049655" cy="10585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1058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DDA33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" filled="f" stroked="f">
              <v:path arrowok="t"/>
              <v:textbox>
                <w:txbxContent>
                  <w:p w14:paraId="2A278E67" w14:textId="77777777" w:rsidR="00303797" w:rsidRDefault="00984430">
                    <w:r>
                      <w:rPr>
                        <w:noProof/>
                      </w:rPr>
                      <w:drawing>
                        <wp:inline distT="0" distB="0" distL="0" distR="0" wp14:anchorId="11F7BBA1" wp14:editId="67E5C6A2">
                          <wp:extent cx="1049655" cy="10585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1058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3797" w:rsidRPr="00FB78C9">
      <w:rPr>
        <w:b/>
        <w:bCs/>
        <w:spacing w:val="20"/>
        <w:sz w:val="36"/>
        <w:szCs w:val="36"/>
        <w:u w:val="single"/>
      </w:rPr>
      <w:t>CÂMARA MUNICIPAL DE BEBEDOURO</w:t>
    </w:r>
  </w:p>
  <w:p w14:paraId="4469CDD6" w14:textId="77777777"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14:paraId="2A0A6B07" w14:textId="77777777" w:rsidR="00303797" w:rsidRDefault="0030379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6CB8AEAD" w14:textId="77777777" w:rsidR="00303797" w:rsidRDefault="0030379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40993"/>
    <w:multiLevelType w:val="hybridMultilevel"/>
    <w:tmpl w:val="F5125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E"/>
    <w:rsid w:val="00013B64"/>
    <w:rsid w:val="0002393B"/>
    <w:rsid w:val="000272AB"/>
    <w:rsid w:val="00043316"/>
    <w:rsid w:val="000443B5"/>
    <w:rsid w:val="000569B9"/>
    <w:rsid w:val="000636E3"/>
    <w:rsid w:val="0007019E"/>
    <w:rsid w:val="00070DEC"/>
    <w:rsid w:val="00082526"/>
    <w:rsid w:val="000941DF"/>
    <w:rsid w:val="00096C3A"/>
    <w:rsid w:val="000971EF"/>
    <w:rsid w:val="000B2378"/>
    <w:rsid w:val="000B2A25"/>
    <w:rsid w:val="000C22B3"/>
    <w:rsid w:val="000C677C"/>
    <w:rsid w:val="000C7BE8"/>
    <w:rsid w:val="000C7F2D"/>
    <w:rsid w:val="000D1895"/>
    <w:rsid w:val="000D76FD"/>
    <w:rsid w:val="000D7F29"/>
    <w:rsid w:val="000E55D7"/>
    <w:rsid w:val="000E5DD7"/>
    <w:rsid w:val="000E79F6"/>
    <w:rsid w:val="000F0039"/>
    <w:rsid w:val="00110E6F"/>
    <w:rsid w:val="00113339"/>
    <w:rsid w:val="00114C13"/>
    <w:rsid w:val="00116348"/>
    <w:rsid w:val="001237B1"/>
    <w:rsid w:val="001401A5"/>
    <w:rsid w:val="001420DF"/>
    <w:rsid w:val="00143C0A"/>
    <w:rsid w:val="00147B5F"/>
    <w:rsid w:val="00170761"/>
    <w:rsid w:val="00183FBC"/>
    <w:rsid w:val="0018558D"/>
    <w:rsid w:val="001962B7"/>
    <w:rsid w:val="001969CC"/>
    <w:rsid w:val="001A0AB2"/>
    <w:rsid w:val="001A391C"/>
    <w:rsid w:val="001B3092"/>
    <w:rsid w:val="001B4413"/>
    <w:rsid w:val="001C1047"/>
    <w:rsid w:val="001C2C36"/>
    <w:rsid w:val="001C6C38"/>
    <w:rsid w:val="001C6FDE"/>
    <w:rsid w:val="001D74E4"/>
    <w:rsid w:val="001F0EDC"/>
    <w:rsid w:val="0020214A"/>
    <w:rsid w:val="00202E42"/>
    <w:rsid w:val="00206DD3"/>
    <w:rsid w:val="00215463"/>
    <w:rsid w:val="002172C8"/>
    <w:rsid w:val="002218C0"/>
    <w:rsid w:val="0022482F"/>
    <w:rsid w:val="002269A5"/>
    <w:rsid w:val="00230151"/>
    <w:rsid w:val="002340B8"/>
    <w:rsid w:val="00255AF9"/>
    <w:rsid w:val="00267356"/>
    <w:rsid w:val="0026783C"/>
    <w:rsid w:val="00283FF3"/>
    <w:rsid w:val="00286D9E"/>
    <w:rsid w:val="002A6F41"/>
    <w:rsid w:val="002B0641"/>
    <w:rsid w:val="002B44A1"/>
    <w:rsid w:val="002C7319"/>
    <w:rsid w:val="002D1866"/>
    <w:rsid w:val="002D3CF5"/>
    <w:rsid w:val="002E6FA3"/>
    <w:rsid w:val="002E702A"/>
    <w:rsid w:val="002E7BD3"/>
    <w:rsid w:val="003017F4"/>
    <w:rsid w:val="00302627"/>
    <w:rsid w:val="00303797"/>
    <w:rsid w:val="0031133E"/>
    <w:rsid w:val="0031296C"/>
    <w:rsid w:val="00315D53"/>
    <w:rsid w:val="00315E68"/>
    <w:rsid w:val="0032327D"/>
    <w:rsid w:val="003240CD"/>
    <w:rsid w:val="00325ED6"/>
    <w:rsid w:val="00326997"/>
    <w:rsid w:val="00326D9E"/>
    <w:rsid w:val="003314C7"/>
    <w:rsid w:val="00333CDC"/>
    <w:rsid w:val="0033499B"/>
    <w:rsid w:val="003355A7"/>
    <w:rsid w:val="00341FC5"/>
    <w:rsid w:val="00343653"/>
    <w:rsid w:val="0034732F"/>
    <w:rsid w:val="00354046"/>
    <w:rsid w:val="003614E1"/>
    <w:rsid w:val="00372E8E"/>
    <w:rsid w:val="003743E9"/>
    <w:rsid w:val="003974E0"/>
    <w:rsid w:val="003A4107"/>
    <w:rsid w:val="003B0BFA"/>
    <w:rsid w:val="003B3D9D"/>
    <w:rsid w:val="003B5270"/>
    <w:rsid w:val="003B6BC5"/>
    <w:rsid w:val="003C01D4"/>
    <w:rsid w:val="003C1D83"/>
    <w:rsid w:val="003C2EAE"/>
    <w:rsid w:val="003D0551"/>
    <w:rsid w:val="003E3996"/>
    <w:rsid w:val="003F340F"/>
    <w:rsid w:val="003F457F"/>
    <w:rsid w:val="003F7D90"/>
    <w:rsid w:val="0040177C"/>
    <w:rsid w:val="00421906"/>
    <w:rsid w:val="00441A1C"/>
    <w:rsid w:val="00456BDC"/>
    <w:rsid w:val="004603A6"/>
    <w:rsid w:val="0047128C"/>
    <w:rsid w:val="004752F3"/>
    <w:rsid w:val="00477014"/>
    <w:rsid w:val="0048277B"/>
    <w:rsid w:val="00490624"/>
    <w:rsid w:val="0049335E"/>
    <w:rsid w:val="00494FF8"/>
    <w:rsid w:val="0049584C"/>
    <w:rsid w:val="00495A53"/>
    <w:rsid w:val="004A4265"/>
    <w:rsid w:val="004A6B8D"/>
    <w:rsid w:val="004C3644"/>
    <w:rsid w:val="004C523D"/>
    <w:rsid w:val="004C7625"/>
    <w:rsid w:val="004E4140"/>
    <w:rsid w:val="004F39F1"/>
    <w:rsid w:val="004F4F00"/>
    <w:rsid w:val="004F56D8"/>
    <w:rsid w:val="004F59B3"/>
    <w:rsid w:val="00503491"/>
    <w:rsid w:val="005052FA"/>
    <w:rsid w:val="00506DEB"/>
    <w:rsid w:val="005108C4"/>
    <w:rsid w:val="00522341"/>
    <w:rsid w:val="00522526"/>
    <w:rsid w:val="00524BBD"/>
    <w:rsid w:val="00542789"/>
    <w:rsid w:val="00550A1B"/>
    <w:rsid w:val="00551853"/>
    <w:rsid w:val="0055284B"/>
    <w:rsid w:val="00552C6D"/>
    <w:rsid w:val="00562AC6"/>
    <w:rsid w:val="00564DC2"/>
    <w:rsid w:val="0058164E"/>
    <w:rsid w:val="00582731"/>
    <w:rsid w:val="00582C73"/>
    <w:rsid w:val="0059685A"/>
    <w:rsid w:val="005A3774"/>
    <w:rsid w:val="005D089C"/>
    <w:rsid w:val="005D4FF3"/>
    <w:rsid w:val="005D7731"/>
    <w:rsid w:val="005E31A7"/>
    <w:rsid w:val="005E6EAD"/>
    <w:rsid w:val="005F25E5"/>
    <w:rsid w:val="005F2835"/>
    <w:rsid w:val="005F31EE"/>
    <w:rsid w:val="005F3E6F"/>
    <w:rsid w:val="005F7131"/>
    <w:rsid w:val="00605DA9"/>
    <w:rsid w:val="00612BF0"/>
    <w:rsid w:val="006138D5"/>
    <w:rsid w:val="00625C58"/>
    <w:rsid w:val="00630913"/>
    <w:rsid w:val="006332B7"/>
    <w:rsid w:val="006367F4"/>
    <w:rsid w:val="00643C49"/>
    <w:rsid w:val="0065478C"/>
    <w:rsid w:val="0065570C"/>
    <w:rsid w:val="00656233"/>
    <w:rsid w:val="006608EE"/>
    <w:rsid w:val="00673646"/>
    <w:rsid w:val="00673D1D"/>
    <w:rsid w:val="006852CF"/>
    <w:rsid w:val="00696D9D"/>
    <w:rsid w:val="006A56CD"/>
    <w:rsid w:val="006A7358"/>
    <w:rsid w:val="006B1FA7"/>
    <w:rsid w:val="006B46A2"/>
    <w:rsid w:val="006C0879"/>
    <w:rsid w:val="006D5B66"/>
    <w:rsid w:val="006D7D66"/>
    <w:rsid w:val="006E2480"/>
    <w:rsid w:val="006E7DBD"/>
    <w:rsid w:val="006F64F0"/>
    <w:rsid w:val="006F7193"/>
    <w:rsid w:val="006F73BE"/>
    <w:rsid w:val="006F770B"/>
    <w:rsid w:val="00702EE4"/>
    <w:rsid w:val="00703986"/>
    <w:rsid w:val="00712CC2"/>
    <w:rsid w:val="00722F08"/>
    <w:rsid w:val="00731E80"/>
    <w:rsid w:val="00735626"/>
    <w:rsid w:val="00741F3B"/>
    <w:rsid w:val="007440B7"/>
    <w:rsid w:val="00744CFF"/>
    <w:rsid w:val="00756385"/>
    <w:rsid w:val="00757B5D"/>
    <w:rsid w:val="007609F5"/>
    <w:rsid w:val="00774E92"/>
    <w:rsid w:val="00775A9E"/>
    <w:rsid w:val="007845CB"/>
    <w:rsid w:val="00784823"/>
    <w:rsid w:val="00797965"/>
    <w:rsid w:val="007A6282"/>
    <w:rsid w:val="007B16ED"/>
    <w:rsid w:val="007B1BE5"/>
    <w:rsid w:val="007B3BC2"/>
    <w:rsid w:val="007B6DD5"/>
    <w:rsid w:val="007C093E"/>
    <w:rsid w:val="007C0B29"/>
    <w:rsid w:val="007C61ED"/>
    <w:rsid w:val="007D4BA3"/>
    <w:rsid w:val="007D6F8F"/>
    <w:rsid w:val="007D73C2"/>
    <w:rsid w:val="007E72B0"/>
    <w:rsid w:val="007E7FE7"/>
    <w:rsid w:val="007F1BDD"/>
    <w:rsid w:val="007F64B6"/>
    <w:rsid w:val="00806A3C"/>
    <w:rsid w:val="00812330"/>
    <w:rsid w:val="00814129"/>
    <w:rsid w:val="00816A9A"/>
    <w:rsid w:val="00817571"/>
    <w:rsid w:val="00827E67"/>
    <w:rsid w:val="008377F5"/>
    <w:rsid w:val="0084549F"/>
    <w:rsid w:val="008562C2"/>
    <w:rsid w:val="00860F7D"/>
    <w:rsid w:val="008676E3"/>
    <w:rsid w:val="00867796"/>
    <w:rsid w:val="00867DE8"/>
    <w:rsid w:val="008763DC"/>
    <w:rsid w:val="008841C3"/>
    <w:rsid w:val="008A06AB"/>
    <w:rsid w:val="008A2B43"/>
    <w:rsid w:val="008B3F96"/>
    <w:rsid w:val="008C639D"/>
    <w:rsid w:val="008C6433"/>
    <w:rsid w:val="008D0FF2"/>
    <w:rsid w:val="008D10BE"/>
    <w:rsid w:val="008D3BFC"/>
    <w:rsid w:val="008E1562"/>
    <w:rsid w:val="008E318A"/>
    <w:rsid w:val="008E55DE"/>
    <w:rsid w:val="009038F1"/>
    <w:rsid w:val="00907AB6"/>
    <w:rsid w:val="00907B67"/>
    <w:rsid w:val="00907CEE"/>
    <w:rsid w:val="00936AE4"/>
    <w:rsid w:val="00942502"/>
    <w:rsid w:val="0096302A"/>
    <w:rsid w:val="00966F24"/>
    <w:rsid w:val="00984430"/>
    <w:rsid w:val="009901FA"/>
    <w:rsid w:val="00990265"/>
    <w:rsid w:val="00991FAE"/>
    <w:rsid w:val="00997DDD"/>
    <w:rsid w:val="009B5902"/>
    <w:rsid w:val="009C6C46"/>
    <w:rsid w:val="009C6E83"/>
    <w:rsid w:val="009F7A2C"/>
    <w:rsid w:val="009F7A6A"/>
    <w:rsid w:val="00A2098C"/>
    <w:rsid w:val="00A24426"/>
    <w:rsid w:val="00A257BD"/>
    <w:rsid w:val="00A270D2"/>
    <w:rsid w:val="00A344CA"/>
    <w:rsid w:val="00A360F7"/>
    <w:rsid w:val="00A57286"/>
    <w:rsid w:val="00A62FCC"/>
    <w:rsid w:val="00A65490"/>
    <w:rsid w:val="00A67A26"/>
    <w:rsid w:val="00A70BA6"/>
    <w:rsid w:val="00A72C0C"/>
    <w:rsid w:val="00A73FD8"/>
    <w:rsid w:val="00A760A5"/>
    <w:rsid w:val="00A949DA"/>
    <w:rsid w:val="00A95359"/>
    <w:rsid w:val="00A979A7"/>
    <w:rsid w:val="00AA7DDA"/>
    <w:rsid w:val="00AB41CE"/>
    <w:rsid w:val="00AC6C3B"/>
    <w:rsid w:val="00AD0A35"/>
    <w:rsid w:val="00AD5180"/>
    <w:rsid w:val="00AE0364"/>
    <w:rsid w:val="00B00090"/>
    <w:rsid w:val="00B01B60"/>
    <w:rsid w:val="00B078B0"/>
    <w:rsid w:val="00B10540"/>
    <w:rsid w:val="00B14D27"/>
    <w:rsid w:val="00B15FA9"/>
    <w:rsid w:val="00B2090F"/>
    <w:rsid w:val="00B22CA9"/>
    <w:rsid w:val="00B26320"/>
    <w:rsid w:val="00B34133"/>
    <w:rsid w:val="00B375D3"/>
    <w:rsid w:val="00B46207"/>
    <w:rsid w:val="00B46E76"/>
    <w:rsid w:val="00B525F4"/>
    <w:rsid w:val="00B64A8C"/>
    <w:rsid w:val="00B77F38"/>
    <w:rsid w:val="00B800B1"/>
    <w:rsid w:val="00B85B85"/>
    <w:rsid w:val="00BB3066"/>
    <w:rsid w:val="00BB5DBE"/>
    <w:rsid w:val="00BD3BEE"/>
    <w:rsid w:val="00BD6A06"/>
    <w:rsid w:val="00BD6E88"/>
    <w:rsid w:val="00BE1A0E"/>
    <w:rsid w:val="00BE2FE4"/>
    <w:rsid w:val="00BE44F5"/>
    <w:rsid w:val="00BE6F7B"/>
    <w:rsid w:val="00BF0373"/>
    <w:rsid w:val="00BF4FE0"/>
    <w:rsid w:val="00BF7851"/>
    <w:rsid w:val="00C0126E"/>
    <w:rsid w:val="00C02980"/>
    <w:rsid w:val="00C03019"/>
    <w:rsid w:val="00C10688"/>
    <w:rsid w:val="00C13A5C"/>
    <w:rsid w:val="00C1554A"/>
    <w:rsid w:val="00C23E64"/>
    <w:rsid w:val="00C2498F"/>
    <w:rsid w:val="00C4035A"/>
    <w:rsid w:val="00C42183"/>
    <w:rsid w:val="00C44FBF"/>
    <w:rsid w:val="00C5098A"/>
    <w:rsid w:val="00C66B80"/>
    <w:rsid w:val="00C766D6"/>
    <w:rsid w:val="00C81530"/>
    <w:rsid w:val="00C85BF6"/>
    <w:rsid w:val="00C92C4A"/>
    <w:rsid w:val="00C950EA"/>
    <w:rsid w:val="00C951DF"/>
    <w:rsid w:val="00C953C6"/>
    <w:rsid w:val="00C96F48"/>
    <w:rsid w:val="00CA4970"/>
    <w:rsid w:val="00CB2B71"/>
    <w:rsid w:val="00CB45A7"/>
    <w:rsid w:val="00CD6926"/>
    <w:rsid w:val="00CE291C"/>
    <w:rsid w:val="00CF309C"/>
    <w:rsid w:val="00CF3166"/>
    <w:rsid w:val="00CF37EC"/>
    <w:rsid w:val="00D01FA9"/>
    <w:rsid w:val="00D03C5D"/>
    <w:rsid w:val="00D042E3"/>
    <w:rsid w:val="00D0560F"/>
    <w:rsid w:val="00D11CDE"/>
    <w:rsid w:val="00D135AB"/>
    <w:rsid w:val="00D24F77"/>
    <w:rsid w:val="00D27BCF"/>
    <w:rsid w:val="00D27DB6"/>
    <w:rsid w:val="00D30E57"/>
    <w:rsid w:val="00D54196"/>
    <w:rsid w:val="00D659AB"/>
    <w:rsid w:val="00D66822"/>
    <w:rsid w:val="00D72D33"/>
    <w:rsid w:val="00D73011"/>
    <w:rsid w:val="00D814F8"/>
    <w:rsid w:val="00D83C1B"/>
    <w:rsid w:val="00DA00C3"/>
    <w:rsid w:val="00DA1E49"/>
    <w:rsid w:val="00DA2B73"/>
    <w:rsid w:val="00DA6774"/>
    <w:rsid w:val="00DC2C21"/>
    <w:rsid w:val="00DC364B"/>
    <w:rsid w:val="00DC393A"/>
    <w:rsid w:val="00DD083A"/>
    <w:rsid w:val="00DD1A79"/>
    <w:rsid w:val="00DD3681"/>
    <w:rsid w:val="00DF0AD5"/>
    <w:rsid w:val="00DF155D"/>
    <w:rsid w:val="00DF3AB1"/>
    <w:rsid w:val="00E0078E"/>
    <w:rsid w:val="00E30A60"/>
    <w:rsid w:val="00E34BFA"/>
    <w:rsid w:val="00E449C1"/>
    <w:rsid w:val="00E4693F"/>
    <w:rsid w:val="00E52637"/>
    <w:rsid w:val="00E53202"/>
    <w:rsid w:val="00E6188E"/>
    <w:rsid w:val="00E64BBA"/>
    <w:rsid w:val="00E97FC9"/>
    <w:rsid w:val="00EA4CD4"/>
    <w:rsid w:val="00EB5A1B"/>
    <w:rsid w:val="00EB5D8C"/>
    <w:rsid w:val="00EB7180"/>
    <w:rsid w:val="00EC5F4A"/>
    <w:rsid w:val="00EE51B8"/>
    <w:rsid w:val="00EE6467"/>
    <w:rsid w:val="00EF0977"/>
    <w:rsid w:val="00EF4000"/>
    <w:rsid w:val="00F00342"/>
    <w:rsid w:val="00F06306"/>
    <w:rsid w:val="00F106F8"/>
    <w:rsid w:val="00F13788"/>
    <w:rsid w:val="00F23ABD"/>
    <w:rsid w:val="00F25F9D"/>
    <w:rsid w:val="00F3085B"/>
    <w:rsid w:val="00F32844"/>
    <w:rsid w:val="00F35ABF"/>
    <w:rsid w:val="00F4071C"/>
    <w:rsid w:val="00F4552B"/>
    <w:rsid w:val="00F55160"/>
    <w:rsid w:val="00F61549"/>
    <w:rsid w:val="00F61C96"/>
    <w:rsid w:val="00F63A8B"/>
    <w:rsid w:val="00F64DCD"/>
    <w:rsid w:val="00F809F2"/>
    <w:rsid w:val="00F83A64"/>
    <w:rsid w:val="00F8760E"/>
    <w:rsid w:val="00F91D8E"/>
    <w:rsid w:val="00F93081"/>
    <w:rsid w:val="00FB1CDE"/>
    <w:rsid w:val="00FB78C9"/>
    <w:rsid w:val="00FC1CC4"/>
    <w:rsid w:val="00FC3E81"/>
    <w:rsid w:val="00FE4932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E4073"/>
  <w15:chartTrackingRefBased/>
  <w15:docId w15:val="{FB45EDE9-85B6-2A42-B6A9-1E2AF048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3B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218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F73BE"/>
    <w:pPr>
      <w:keepNext/>
      <w:jc w:val="center"/>
      <w:outlineLvl w:val="1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6F73BE"/>
    <w:pPr>
      <w:keepNext/>
      <w:jc w:val="both"/>
      <w:outlineLvl w:val="4"/>
    </w:pPr>
    <w:rPr>
      <w:b/>
      <w:sz w:val="28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1CE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F73BE"/>
    <w:pPr>
      <w:tabs>
        <w:tab w:val="left" w:pos="936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u w:val="single"/>
    </w:rPr>
  </w:style>
  <w:style w:type="character" w:customStyle="1" w:styleId="TtuloChar">
    <w:name w:val="Título Char"/>
    <w:link w:val="Ttulo"/>
    <w:rsid w:val="0018558D"/>
    <w:rPr>
      <w:b/>
      <w:sz w:val="32"/>
      <w:u w:val="single"/>
    </w:rPr>
  </w:style>
  <w:style w:type="character" w:customStyle="1" w:styleId="Ttulo7Char">
    <w:name w:val="Título 7 Char"/>
    <w:link w:val="Ttulo7"/>
    <w:semiHidden/>
    <w:rsid w:val="00AB41CE"/>
    <w:rPr>
      <w:rFonts w:ascii="Calibri" w:eastAsia="Times New Roman" w:hAnsi="Calibri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AB41CE"/>
    <w:pPr>
      <w:jc w:val="both"/>
    </w:pPr>
    <w:rPr>
      <w:sz w:val="32"/>
    </w:rPr>
  </w:style>
  <w:style w:type="character" w:customStyle="1" w:styleId="CorpodetextoChar">
    <w:name w:val="Corpo de texto Char"/>
    <w:link w:val="Corpodetexto"/>
    <w:rsid w:val="00AB41CE"/>
    <w:rPr>
      <w:sz w:val="32"/>
      <w:szCs w:val="24"/>
    </w:rPr>
  </w:style>
  <w:style w:type="paragraph" w:styleId="NormalWeb">
    <w:name w:val="Normal (Web)"/>
    <w:basedOn w:val="Normal"/>
    <w:uiPriority w:val="99"/>
    <w:rsid w:val="003B3D9D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3B3D9D"/>
    <w:rPr>
      <w:rFonts w:ascii="Arial" w:hAnsi="Arial" w:cs="Arial"/>
      <w:b/>
      <w:bCs/>
    </w:rPr>
  </w:style>
  <w:style w:type="character" w:customStyle="1" w:styleId="SubttuloChar">
    <w:name w:val="Subtítulo Char"/>
    <w:link w:val="Subttulo"/>
    <w:rsid w:val="003B3D9D"/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5ABF"/>
    <w:pPr>
      <w:ind w:left="720"/>
    </w:pPr>
    <w:rPr>
      <w:rFonts w:ascii="sans serif" w:eastAsia="Calibri" w:hAnsi="sans serif"/>
      <w:color w:val="000000"/>
    </w:rPr>
  </w:style>
  <w:style w:type="character" w:customStyle="1" w:styleId="Ttulo5Char">
    <w:name w:val="Título 5 Char"/>
    <w:link w:val="Ttulo5"/>
    <w:rsid w:val="006D5B66"/>
    <w:rPr>
      <w:b/>
      <w:sz w:val="28"/>
    </w:rPr>
  </w:style>
  <w:style w:type="character" w:customStyle="1" w:styleId="Ttulo1Char">
    <w:name w:val="Título 1 Char"/>
    <w:link w:val="Ttulo1"/>
    <w:rsid w:val="00221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orte">
    <w:name w:val="Strong"/>
    <w:uiPriority w:val="22"/>
    <w:qFormat/>
    <w:rsid w:val="00DA1E49"/>
    <w:rPr>
      <w:b/>
      <w:bCs/>
    </w:rPr>
  </w:style>
  <w:style w:type="character" w:styleId="nfase">
    <w:name w:val="Emphasis"/>
    <w:uiPriority w:val="20"/>
    <w:qFormat/>
    <w:rsid w:val="00DA1E49"/>
    <w:rPr>
      <w:i/>
      <w:iCs/>
    </w:rPr>
  </w:style>
  <w:style w:type="table" w:styleId="Tabelacomgrade">
    <w:name w:val="Table Grid"/>
    <w:basedOn w:val="Tabelanormal"/>
    <w:rsid w:val="0099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84430"/>
    <w:rPr>
      <w:rFonts w:ascii="Aptos" w:eastAsia="Aptos" w:hAnsi="Aptos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Camara</cp:lastModifiedBy>
  <cp:revision>2</cp:revision>
  <cp:lastPrinted>2015-08-31T12:13:00Z</cp:lastPrinted>
  <dcterms:created xsi:type="dcterms:W3CDTF">2025-02-10T20:52:00Z</dcterms:created>
  <dcterms:modified xsi:type="dcterms:W3CDTF">2025-02-10T20:52:00Z</dcterms:modified>
</cp:coreProperties>
</file>