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C88" w:rsidRDefault="00355C88" w:rsidP="00355C88">
      <w:pPr>
        <w:ind w:left="3969"/>
        <w:jc w:val="both"/>
        <w:rPr>
          <w:rFonts w:ascii="Helvetica" w:hAnsi="Helvetica"/>
          <w:color w:val="333333"/>
          <w:sz w:val="21"/>
          <w:szCs w:val="21"/>
          <w:shd w:val="clear" w:color="auto" w:fill="F5F5F5"/>
        </w:rPr>
      </w:pPr>
      <w:r>
        <w:rPr>
          <w:rFonts w:ascii="Helvetica" w:hAnsi="Helvetica"/>
          <w:b/>
          <w:color w:val="333333"/>
          <w:sz w:val="21"/>
          <w:szCs w:val="21"/>
          <w:u w:val="single"/>
          <w:shd w:val="clear" w:color="auto" w:fill="F5F5F5"/>
        </w:rPr>
        <w:t>EMENDAS N. 01 E 02 AO PROJETO DE RESOLUÇÃO N. 10/2024</w:t>
      </w:r>
      <w:r>
        <w:rPr>
          <w:rFonts w:ascii="Helvetica" w:hAnsi="Helvetica"/>
          <w:color w:val="333333"/>
          <w:sz w:val="21"/>
          <w:szCs w:val="21"/>
          <w:shd w:val="clear" w:color="auto" w:fill="F5F5F5"/>
        </w:rPr>
        <w:t>.</w:t>
      </w:r>
    </w:p>
    <w:p w:rsidR="00B07E3F" w:rsidRDefault="00B07E3F" w:rsidP="00B07E3F">
      <w:pPr>
        <w:ind w:left="3969"/>
        <w:jc w:val="both"/>
      </w:pPr>
    </w:p>
    <w:p w:rsidR="009A7C85" w:rsidRPr="009A7C85" w:rsidRDefault="009A7C85" w:rsidP="00691AE7">
      <w:pPr>
        <w:ind w:left="3969"/>
        <w:jc w:val="both"/>
        <w:rPr>
          <w:rFonts w:ascii="Arial" w:hAnsi="Arial" w:cs="Arial"/>
        </w:rPr>
      </w:pPr>
    </w:p>
    <w:p w:rsidR="00EA07B2" w:rsidRPr="009A7C85" w:rsidRDefault="00EA07B2" w:rsidP="00691AE7">
      <w:pPr>
        <w:ind w:left="3969"/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center"/>
        <w:rPr>
          <w:rFonts w:ascii="Arial" w:hAnsi="Arial" w:cs="Arial"/>
          <w:b/>
          <w:u w:val="single"/>
        </w:rPr>
      </w:pPr>
      <w:r w:rsidRPr="009A7C85">
        <w:rPr>
          <w:rFonts w:ascii="Arial" w:hAnsi="Arial" w:cs="Arial"/>
          <w:b/>
          <w:u w:val="single"/>
        </w:rPr>
        <w:t>PARECER D</w:t>
      </w:r>
      <w:r w:rsidR="00691AE7" w:rsidRPr="009A7C85">
        <w:rPr>
          <w:rFonts w:ascii="Arial" w:hAnsi="Arial" w:cs="Arial"/>
          <w:b/>
          <w:u w:val="single"/>
        </w:rPr>
        <w:t>A COMISSÃO DE JUSTIÇA E REDAÇÃO</w:t>
      </w:r>
    </w:p>
    <w:p w:rsidR="00691AE7" w:rsidRPr="009A7C85" w:rsidRDefault="00691AE7" w:rsidP="00A34C5A">
      <w:pPr>
        <w:jc w:val="center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A matéria versada nesta propositura encontra dentro do campo de competência legislativa da Câmara Municipal. Segundo o artigo 18, § 1º, da Lei Orgânica Municipal, a Câmara Municipal deliberara mediante Resolução sobre assuntos de sua economia interna </w:t>
      </w:r>
      <w:r w:rsidR="00355C88">
        <w:rPr>
          <w:rFonts w:ascii="Arial" w:hAnsi="Arial" w:cs="Arial"/>
        </w:rPr>
        <w:t xml:space="preserve">e os artigos </w:t>
      </w:r>
      <w:r w:rsidR="00355C88" w:rsidRPr="00355C88">
        <w:rPr>
          <w:rFonts w:ascii="Arial" w:hAnsi="Arial" w:cs="Arial"/>
          <w:b/>
          <w:u w:val="single"/>
        </w:rPr>
        <w:t>154 e 155, inciso V</w:t>
      </w:r>
      <w:r w:rsidRPr="009A7C85">
        <w:rPr>
          <w:rFonts w:ascii="Arial" w:hAnsi="Arial" w:cs="Arial"/>
        </w:rPr>
        <w:t xml:space="preserve">, do Regimento Interno da Câmara, tratam o assunto do mesmo modo, nos seguintes termos: </w:t>
      </w:r>
    </w:p>
    <w:p w:rsidR="009A7C85" w:rsidRPr="009A7C85" w:rsidRDefault="009A7C85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154</w:t>
      </w:r>
      <w:r w:rsidRPr="009A7C85">
        <w:rPr>
          <w:rFonts w:ascii="Arial" w:hAnsi="Arial" w:cs="Arial"/>
          <w:b/>
          <w:i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A7C85" w:rsidRDefault="00A34C5A" w:rsidP="00A34C5A">
      <w:pPr>
        <w:ind w:left="3969"/>
        <w:jc w:val="both"/>
        <w:rPr>
          <w:rFonts w:ascii="Arial" w:hAnsi="Arial" w:cs="Arial"/>
          <w:b/>
          <w:u w:val="single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155</w:t>
      </w:r>
      <w:r w:rsidRPr="009A7C85">
        <w:rPr>
          <w:rFonts w:ascii="Arial" w:hAnsi="Arial" w:cs="Arial"/>
          <w:b/>
          <w:i/>
        </w:rPr>
        <w:t xml:space="preserve"> - Constitui matéria de projeto de resolução:</w:t>
      </w: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</w:p>
    <w:p w:rsidR="00A34C5A" w:rsidRPr="009A7C85" w:rsidRDefault="000022F9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V</w:t>
      </w:r>
      <w:r w:rsidR="00A34C5A" w:rsidRPr="009A7C85">
        <w:rPr>
          <w:rFonts w:ascii="Arial" w:hAnsi="Arial" w:cs="Arial"/>
          <w:b/>
          <w:i/>
        </w:rPr>
        <w:t xml:space="preserve"> </w:t>
      </w:r>
      <w:r w:rsidRPr="009A7C85">
        <w:rPr>
          <w:rFonts w:ascii="Arial" w:hAnsi="Arial" w:cs="Arial"/>
          <w:b/>
          <w:i/>
        </w:rPr>
        <w:t>–</w:t>
      </w:r>
      <w:r w:rsidR="00A34C5A" w:rsidRPr="009A7C85">
        <w:rPr>
          <w:rFonts w:ascii="Arial" w:hAnsi="Arial" w:cs="Arial"/>
          <w:b/>
          <w:i/>
        </w:rPr>
        <w:t xml:space="preserve"> </w:t>
      </w:r>
      <w:proofErr w:type="gramStart"/>
      <w:r w:rsidRPr="009A7C85">
        <w:rPr>
          <w:rFonts w:ascii="Arial" w:hAnsi="Arial" w:cs="Arial"/>
          <w:b/>
          <w:i/>
        </w:rPr>
        <w:t>assuntos</w:t>
      </w:r>
      <w:proofErr w:type="gramEnd"/>
      <w:r w:rsidRPr="009A7C85">
        <w:rPr>
          <w:rFonts w:ascii="Arial" w:hAnsi="Arial" w:cs="Arial"/>
          <w:b/>
          <w:i/>
        </w:rPr>
        <w:t xml:space="preserve"> de economia interna da Câmara, não compreendidos nos limites dos atos administrativos de competência do presidente ou da Mesa.</w:t>
      </w:r>
      <w:r w:rsidR="00A34C5A" w:rsidRPr="009A7C85">
        <w:rPr>
          <w:rFonts w:ascii="Arial" w:hAnsi="Arial" w:cs="Arial"/>
          <w:b/>
          <w:i/>
        </w:rPr>
        <w:t>;</w:t>
      </w:r>
    </w:p>
    <w:p w:rsidR="009A7C85" w:rsidRPr="009A7C85" w:rsidRDefault="009A7C85" w:rsidP="00A34C5A">
      <w:pPr>
        <w:ind w:left="3969" w:firstLine="279"/>
        <w:jc w:val="both"/>
        <w:rPr>
          <w:rFonts w:ascii="Arial" w:hAnsi="Arial" w:cs="Arial"/>
          <w:i/>
        </w:rPr>
      </w:pPr>
    </w:p>
    <w:p w:rsidR="009A7C85" w:rsidRPr="009A7C85" w:rsidRDefault="00355C88" w:rsidP="009A7C85">
      <w:pPr>
        <w:ind w:firstLine="2127"/>
        <w:jc w:val="both"/>
        <w:rPr>
          <w:rFonts w:ascii="Arial" w:hAnsi="Arial" w:cs="Arial"/>
        </w:rPr>
      </w:pPr>
      <w:r>
        <w:rPr>
          <w:rFonts w:ascii="Arial" w:hAnsi="Arial" w:cs="Arial"/>
        </w:rPr>
        <w:t>Por sua vez, a iniciativa</w:t>
      </w:r>
      <w:r w:rsidR="009A7C85" w:rsidRPr="009A7C85">
        <w:rPr>
          <w:rFonts w:ascii="Arial" w:hAnsi="Arial" w:cs="Arial"/>
        </w:rPr>
        <w:t xml:space="preserve"> para a propositura em apreço é da Mesa Diretora, conforme reza o art. 45, III do Regimento Interno</w:t>
      </w:r>
      <w:r>
        <w:rPr>
          <w:rFonts w:ascii="Arial" w:hAnsi="Arial" w:cs="Arial"/>
        </w:rPr>
        <w:t>, sendo cabível emenda de vereador</w:t>
      </w:r>
      <w:r w:rsidR="009A7C85" w:rsidRPr="009A7C85">
        <w:rPr>
          <w:rFonts w:ascii="Arial" w:hAnsi="Arial" w:cs="Arial"/>
        </w:rPr>
        <w:t>:</w:t>
      </w:r>
    </w:p>
    <w:p w:rsidR="009A7C85" w:rsidRPr="009A7C85" w:rsidRDefault="009A7C85" w:rsidP="009A7C85">
      <w:pPr>
        <w:ind w:firstLine="2127"/>
        <w:jc w:val="both"/>
        <w:rPr>
          <w:rFonts w:ascii="Arial" w:hAnsi="Arial" w:cs="Arial"/>
        </w:rPr>
      </w:pP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bCs/>
          <w:i/>
        </w:rPr>
        <w:t>Art. 45.</w:t>
      </w:r>
      <w:r w:rsidRPr="009A7C85">
        <w:rPr>
          <w:rFonts w:ascii="Arial" w:hAnsi="Arial" w:cs="Arial"/>
          <w:b/>
          <w:i/>
        </w:rPr>
        <w:t xml:space="preserve"> Compete à Mesa da Câmara privativamente, em colegiado:</w:t>
      </w: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...</w:t>
      </w:r>
    </w:p>
    <w:p w:rsidR="009A7C85" w:rsidRPr="009A7C85" w:rsidRDefault="009A7C85" w:rsidP="009A7C85">
      <w:pPr>
        <w:ind w:left="3969" w:firstLine="2127"/>
        <w:jc w:val="both"/>
        <w:rPr>
          <w:rFonts w:ascii="Arial" w:hAnsi="Arial" w:cs="Arial"/>
          <w:b/>
          <w:i/>
        </w:rPr>
      </w:pP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III - propor ao plenário projetos de resoluções que criem, transformem e extingam cargo(s), emprego(s) e função(</w:t>
      </w:r>
      <w:proofErr w:type="spellStart"/>
      <w:r w:rsidRPr="009A7C85">
        <w:rPr>
          <w:rFonts w:ascii="Arial" w:hAnsi="Arial" w:cs="Arial"/>
          <w:b/>
          <w:i/>
        </w:rPr>
        <w:t>ões</w:t>
      </w:r>
      <w:proofErr w:type="spellEnd"/>
      <w:r w:rsidRPr="009A7C85">
        <w:rPr>
          <w:rFonts w:ascii="Arial" w:hAnsi="Arial" w:cs="Arial"/>
          <w:b/>
          <w:i/>
        </w:rPr>
        <w:t>) da Câmara Municipal, fixando por projeto de lei a(s) respectiva(s) remuneração(</w:t>
      </w:r>
      <w:proofErr w:type="spellStart"/>
      <w:r w:rsidRPr="009A7C85">
        <w:rPr>
          <w:rFonts w:ascii="Arial" w:hAnsi="Arial" w:cs="Arial"/>
          <w:b/>
          <w:i/>
        </w:rPr>
        <w:t>ões</w:t>
      </w:r>
      <w:proofErr w:type="spellEnd"/>
      <w:r w:rsidRPr="009A7C85">
        <w:rPr>
          <w:rFonts w:ascii="Arial" w:hAnsi="Arial" w:cs="Arial"/>
          <w:b/>
          <w:i/>
        </w:rPr>
        <w:t>);</w:t>
      </w:r>
    </w:p>
    <w:p w:rsidR="009A7C85" w:rsidRPr="009A7C85" w:rsidRDefault="009A7C85" w:rsidP="009A7C85">
      <w:pPr>
        <w:ind w:firstLine="2127"/>
        <w:jc w:val="both"/>
        <w:rPr>
          <w:rFonts w:ascii="Arial" w:hAnsi="Arial" w:cs="Arial"/>
          <w:b/>
        </w:rPr>
      </w:pPr>
    </w:p>
    <w:p w:rsidR="00123DB1" w:rsidRDefault="009A7C85" w:rsidP="009A7C85">
      <w:pPr>
        <w:ind w:firstLine="2127"/>
        <w:jc w:val="both"/>
        <w:rPr>
          <w:rFonts w:ascii="Arial" w:hAnsi="Arial" w:cs="Arial"/>
          <w:b/>
        </w:rPr>
      </w:pPr>
      <w:r w:rsidRPr="009A7C85">
        <w:rPr>
          <w:rFonts w:ascii="Arial" w:hAnsi="Arial" w:cs="Arial"/>
          <w:b/>
        </w:rPr>
        <w:t xml:space="preserve">                            ...</w:t>
      </w:r>
    </w:p>
    <w:p w:rsidR="00355C88" w:rsidRDefault="00355C88" w:rsidP="009A7C85">
      <w:pPr>
        <w:ind w:firstLine="2127"/>
        <w:jc w:val="both"/>
        <w:rPr>
          <w:rFonts w:ascii="Arial" w:hAnsi="Arial" w:cs="Arial"/>
          <w:b/>
        </w:rPr>
      </w:pPr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 xml:space="preserve">Art. 159.  Emendas são proposições destinadas a modificar o texto do projeto original, oferecidas </w:t>
      </w:r>
      <w:r w:rsidRPr="00355C88">
        <w:rPr>
          <w:rFonts w:ascii="Arial" w:hAnsi="Arial" w:cs="Arial"/>
          <w:b/>
        </w:rPr>
        <w:lastRenderedPageBreak/>
        <w:t>no momento próprio, por vereador, Comissão ou pela Mesa, na forma regimental. </w:t>
      </w:r>
      <w:hyperlink r:id="rId8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1°</w:t>
      </w:r>
      <w:r w:rsidRPr="00355C88">
        <w:rPr>
          <w:rFonts w:ascii="Arial" w:hAnsi="Arial" w:cs="Arial"/>
          <w:b/>
        </w:rPr>
        <w:t xml:space="preserve"> As emendas receberão numeração geral, independentemente de sua modalidade, de acordo com a data de entrada na Casa, e poderão ser: </w:t>
      </w:r>
      <w:hyperlink r:id="rId9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a) supressivas, substitutivas, aditivas ou modificativas, conforme visem, respectivamente, a eliminar, substituir, acrescer ou alterar qualquer disposição do projeto original; </w:t>
      </w:r>
      <w:hyperlink r:id="rId10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b) de redação, para a correção de vícios de linguagem, erros técnicos ou lapsos manifestos; </w:t>
      </w:r>
      <w:hyperlink r:id="rId11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c) aglutinativas, para alterações previstas em dois ou mais tipos de emendas. </w:t>
      </w:r>
      <w:hyperlink r:id="rId12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355C88" w:rsidRDefault="00355C88" w:rsidP="00355C88">
      <w:pPr>
        <w:ind w:left="3969"/>
        <w:jc w:val="both"/>
        <w:rPr>
          <w:rFonts w:ascii="Arial" w:hAnsi="Arial" w:cs="Arial"/>
          <w:b/>
        </w:rPr>
      </w:pPr>
      <w:r w:rsidRPr="00355C88">
        <w:rPr>
          <w:rFonts w:ascii="Arial" w:hAnsi="Arial" w:cs="Arial"/>
          <w:b/>
        </w:rPr>
        <w:t>§ 2</w:t>
      </w:r>
      <w:proofErr w:type="gramStart"/>
      <w:r w:rsidRPr="00355C88">
        <w:rPr>
          <w:rFonts w:ascii="Arial" w:hAnsi="Arial" w:cs="Arial"/>
          <w:b/>
        </w:rPr>
        <w:t>°  Subemenda</w:t>
      </w:r>
      <w:proofErr w:type="gramEnd"/>
      <w:r w:rsidRPr="00355C88">
        <w:rPr>
          <w:rFonts w:ascii="Arial" w:hAnsi="Arial" w:cs="Arial"/>
          <w:b/>
        </w:rPr>
        <w:t xml:space="preserve"> é a emenda feita a outra anterior, e terá por finalidade corrigir vícios de linguagem, erros técnicos ou lapsos manifestos, não podendo, em hipótese alguma, alterar o conteúdo ou desvirtuar o propósito da emenda original. </w:t>
      </w:r>
      <w:hyperlink r:id="rId13" w:anchor="art7" w:history="1">
        <w:r w:rsidRPr="00355C88">
          <w:rPr>
            <w:rStyle w:val="Hyperlink"/>
            <w:rFonts w:ascii="Arial" w:hAnsi="Arial" w:cs="Arial"/>
            <w:b/>
          </w:rPr>
          <w:t>(Redação dada pela Resolução n° 80, de 2004)</w:t>
        </w:r>
      </w:hyperlink>
    </w:p>
    <w:p w:rsidR="00355C88" w:rsidRPr="009A7C85" w:rsidRDefault="00355C88" w:rsidP="00355C88">
      <w:pPr>
        <w:jc w:val="both"/>
        <w:rPr>
          <w:rFonts w:ascii="Arial" w:hAnsi="Arial" w:cs="Arial"/>
          <w:b/>
        </w:rPr>
      </w:pPr>
    </w:p>
    <w:p w:rsidR="00EA07B2" w:rsidRPr="009A7C85" w:rsidRDefault="00EA07B2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Portanto, a propositura não contraria a sistemática legal vigorante e tão pouco as regras atinentes a competência.</w:t>
      </w:r>
    </w:p>
    <w:p w:rsidR="007D4EB9" w:rsidRPr="009A7C85" w:rsidRDefault="007D4EB9" w:rsidP="00A34C5A">
      <w:pPr>
        <w:jc w:val="both"/>
        <w:rPr>
          <w:rFonts w:ascii="Arial" w:hAnsi="Arial" w:cs="Arial"/>
        </w:rPr>
      </w:pPr>
    </w:p>
    <w:p w:rsidR="007D4EB9" w:rsidRPr="009A7C85" w:rsidRDefault="007D4EB9" w:rsidP="007D4EB9">
      <w:pPr>
        <w:ind w:firstLine="2127"/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 xml:space="preserve">Note-se que o projeto em tela não acarreta aumento de despesa imediato para o Poder Legislativo, motivo pelo qual s faz desnecessária a observância dos </w:t>
      </w:r>
      <w:proofErr w:type="spellStart"/>
      <w:r w:rsidRPr="009A7C85">
        <w:rPr>
          <w:rFonts w:ascii="Arial" w:hAnsi="Arial" w:cs="Arial"/>
        </w:rPr>
        <w:t>arts</w:t>
      </w:r>
      <w:proofErr w:type="spellEnd"/>
      <w:r w:rsidRPr="009A7C85">
        <w:rPr>
          <w:rFonts w:ascii="Arial" w:hAnsi="Arial" w:cs="Arial"/>
        </w:rPr>
        <w:t>. 16, 17 e 21 da Lei de Responsabilidade Fiscal.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Diante do exposto, não encontramos qualquer vício de competência ou de legalidade que macule a incitava contida na propositura.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É nosso parecer, s.m.j.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Bebedouro (SP), capital nacional da laranja, </w:t>
      </w:r>
      <w:r w:rsidR="006F2427">
        <w:rPr>
          <w:rFonts w:ascii="Arial" w:hAnsi="Arial" w:cs="Arial"/>
        </w:rPr>
        <w:t xml:space="preserve">25 </w:t>
      </w:r>
      <w:r w:rsidRPr="009A7C85">
        <w:rPr>
          <w:rFonts w:ascii="Arial" w:hAnsi="Arial" w:cs="Arial"/>
        </w:rPr>
        <w:t>de</w:t>
      </w:r>
      <w:r w:rsidR="006F2427">
        <w:rPr>
          <w:rFonts w:ascii="Arial" w:hAnsi="Arial" w:cs="Arial"/>
        </w:rPr>
        <w:t xml:space="preserve"> novembro </w:t>
      </w:r>
      <w:bookmarkStart w:id="0" w:name="_GoBack"/>
      <w:bookmarkEnd w:id="0"/>
      <w:r w:rsidRPr="009A7C85">
        <w:rPr>
          <w:rFonts w:ascii="Arial" w:hAnsi="Arial" w:cs="Arial"/>
        </w:rPr>
        <w:t>de 202</w:t>
      </w:r>
      <w:r w:rsidR="00EA07B2" w:rsidRPr="009A7C85">
        <w:rPr>
          <w:rFonts w:ascii="Arial" w:hAnsi="Arial" w:cs="Arial"/>
        </w:rPr>
        <w:t>4</w:t>
      </w:r>
      <w:r w:rsidRPr="009A7C85">
        <w:rPr>
          <w:rFonts w:ascii="Arial" w:hAnsi="Arial" w:cs="Arial"/>
        </w:rPr>
        <w:t xml:space="preserve">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5706F" w:rsidRPr="009A7C85" w:rsidRDefault="00A5706F" w:rsidP="00A5706F">
      <w:pPr>
        <w:jc w:val="center"/>
        <w:rPr>
          <w:rFonts w:ascii="Calibri" w:hAnsi="Calibri" w:cs="Calibri"/>
        </w:rPr>
      </w:pPr>
      <w:r w:rsidRPr="009A7C85">
        <w:rPr>
          <w:rFonts w:ascii="Calibri" w:hAnsi="Calibri" w:cs="Calibri"/>
        </w:rPr>
        <w:t>Paulo Aurélio Bianchini</w:t>
      </w:r>
      <w:r w:rsidRPr="009A7C85">
        <w:rPr>
          <w:rFonts w:ascii="Calibri" w:hAnsi="Calibri" w:cs="Calibri"/>
        </w:rPr>
        <w:tab/>
        <w:t>Jorge Emanoel Cardoso Rocha</w:t>
      </w:r>
      <w:r w:rsidRPr="009A7C85">
        <w:rPr>
          <w:rFonts w:ascii="Calibri" w:hAnsi="Calibri" w:cs="Calibri"/>
        </w:rPr>
        <w:tab/>
      </w:r>
      <w:proofErr w:type="spellStart"/>
      <w:r w:rsidRPr="009A7C85">
        <w:rPr>
          <w:rFonts w:ascii="Calibri" w:hAnsi="Calibri" w:cs="Calibri"/>
        </w:rPr>
        <w:t>Mariangela</w:t>
      </w:r>
      <w:proofErr w:type="spellEnd"/>
      <w:r w:rsidRPr="009A7C85">
        <w:rPr>
          <w:rFonts w:ascii="Calibri" w:hAnsi="Calibri" w:cs="Calibri"/>
        </w:rPr>
        <w:t xml:space="preserve"> Ferraz Mussolini</w:t>
      </w:r>
    </w:p>
    <w:p w:rsidR="00640A13" w:rsidRPr="009A7C85" w:rsidRDefault="00A5706F" w:rsidP="00A34C5A">
      <w:r w:rsidRPr="009A7C85">
        <w:rPr>
          <w:rFonts w:ascii="Calibri" w:hAnsi="Calibri" w:cs="Calibri"/>
          <w:b/>
          <w:bCs/>
        </w:rPr>
        <w:t xml:space="preserve">                PRESIDENTE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RELATOR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9A7C85" w:rsidSect="007E65EB">
      <w:headerReference w:type="default" r:id="rId14"/>
      <w:footerReference w:type="default" r:id="rId15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1DF" w:rsidRDefault="000371DF">
      <w:r>
        <w:separator/>
      </w:r>
    </w:p>
  </w:endnote>
  <w:endnote w:type="continuationSeparator" w:id="0">
    <w:p w:rsidR="000371DF" w:rsidRDefault="0003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1DF" w:rsidRDefault="000371DF">
      <w:r>
        <w:separator/>
      </w:r>
    </w:p>
  </w:footnote>
  <w:footnote w:type="continuationSeparator" w:id="0">
    <w:p w:rsidR="000371DF" w:rsidRDefault="00037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1DF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4C17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E65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C88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27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4EB9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A7C85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3F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E5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88071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aodigital.com.br/Bebedouro-SP/Resolucoes/80-2004" TargetMode="External"/><Relationship Id="rId13" Type="http://schemas.openxmlformats.org/officeDocument/2006/relationships/hyperlink" Target="https://legislacaodigital.com.br/Bebedouro-SP/Resolucoes/80-20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islacaodigital.com.br/Bebedouro-SP/Resolucoes/80-200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caodigital.com.br/Bebedouro-SP/Resolucoes/80-20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egislacaodigital.com.br/Bebedouro-SP/Resolucoes/80-2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caodigital.com.br/Bebedouro-SP/Resolucoes/80-200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7D93-F1A5-409D-9DD4-ADF2CF10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</TotalTime>
  <Pages>2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lidiane</cp:lastModifiedBy>
  <cp:revision>3</cp:revision>
  <cp:lastPrinted>2022-10-10T14:22:00Z</cp:lastPrinted>
  <dcterms:created xsi:type="dcterms:W3CDTF">2024-11-25T21:41:00Z</dcterms:created>
  <dcterms:modified xsi:type="dcterms:W3CDTF">2024-11-25T22:36:00Z</dcterms:modified>
</cp:coreProperties>
</file>