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t-BR"/>
        </w:rPr>
        <w:t>PROJETO DE LEI Nº</w:t>
      </w:r>
      <w:r w:rsidR="00093AB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 73</w:t>
      </w:r>
      <w:r w:rsidRPr="001541C7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t-BR"/>
        </w:rPr>
        <w:t>/2024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iCs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iCs/>
          <w:color w:val="000000"/>
          <w:sz w:val="24"/>
          <w:szCs w:val="24"/>
          <w:lang w:eastAsia="pt-BR"/>
        </w:rPr>
        <w:t>“Autoriza o Chefe do Poder Executivo Municipal a firmar Convênio de Cooperação com a Agência Reguladora dos Serviços de Saneamento das Bacias dos Rios Piracicaba, Capivari e Jundiaí – ARES-PCJ, para delegação das</w:t>
      </w:r>
      <w:r w:rsidRPr="001541C7">
        <w:rPr>
          <w:rFonts w:ascii="Arial" w:hAnsi="Arial" w:cs="Arial"/>
          <w:b/>
          <w:iCs/>
          <w:color w:val="000000"/>
          <w:sz w:val="24"/>
          <w:szCs w:val="24"/>
          <w:lang w:eastAsia="pt-BR"/>
        </w:rPr>
        <w:t xml:space="preserve"> competências municipais de regulação e fiscalização da prestação dos serviços de saneamento básico, e dá outras providências”.</w:t>
      </w:r>
    </w:p>
    <w:p w:rsidR="00866CD6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iCs/>
          <w:color w:val="000000"/>
          <w:sz w:val="24"/>
          <w:szCs w:val="24"/>
          <w:lang w:eastAsia="pt-BR"/>
        </w:rPr>
      </w:pP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i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Cs/>
          <w:color w:val="000000"/>
          <w:sz w:val="24"/>
          <w:szCs w:val="24"/>
          <w:lang w:eastAsia="pt-BR"/>
        </w:rPr>
        <w:t>O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1541C7">
        <w:rPr>
          <w:rFonts w:ascii="Arial" w:hAnsi="Arial" w:cs="Arial"/>
          <w:b/>
          <w:color w:val="000000"/>
          <w:sz w:val="24"/>
          <w:szCs w:val="24"/>
          <w:lang w:eastAsia="pt-BR"/>
        </w:rPr>
        <w:t>Prefeito Municipal de Bebedouro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, usando de suas atribuições legais,</w:t>
      </w: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Faz saber que a Câmara Municipal aprova a seguinte Lei:</w:t>
      </w:r>
    </w:p>
    <w:p w:rsidR="00866CD6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Fica o Chefe do Poder Executivo Municipal autorizado a firmar Convênio de Cooperação com a Agência Reguladora dos Serviços de Saneamento das Bacias dos Rios Piracicaba, Capivari e Jundiaí – ARES-PCJ, consórcio público de direito público, inscrit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a no CNPJ/MF nº 13.750.681/0001-57, com sede na cidade de Americana, Estado de São Paulo, na Avenida Paulista, nº 633, Jardim Santana, e delegar as competências municipais de regulação e fiscalização da prestação dos serviços públicos de saneamento básico,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 xml:space="preserve"> nos termos definidos pela Lei federal nº 11.445/2007.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2º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O Convênio de Cooperação entre o Município de Bebedouro / SP e a Agência Reguladora dos Serviços de Saneamento das Bacias dos Rios Piracicaba,</w:t>
      </w:r>
      <w:r w:rsidR="00280EC8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Capivari e Jundiaí – ARES-PCJ, regulamenta a de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legação das competências municipais de regulação e fiscalização da prestação dos serviços públicos de saneamento básico, operando assim, a delegificação das normas municipais sobre saneamento básico, vigorando as normas expedidas pela ARES-PCJ, durante a v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igência do Convênio de Cooperação.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 1º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 xml:space="preserve">O prazo de vigência do referido Convênio de Cooperação, que compreende a delegação das competências municipais de regulação e fiscalização da prestação dos serviços públicos de saneamento básico, será de 10 (dez)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anos, prorrogáveis por iguais períodos, conforme horizonte de planejamento do Plano Municipal de Saneamento Básico do Município de Bebedouro / SP.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 2º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Havendo mais de um prestador de serviço público de saneamento básico, poderá ser firmado mais de um C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onvênio de Cooperação entre o Município de Bebedouro / SP e a Agência Reguladora PCJ (ARES-PCJ).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 3º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A Agência Reguladora PCJ (ARES-PCJ) deverá prestar contas à Administração Pública Municipal de Bebedouro / SP, nos prazos regulamentares e nos termos d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a legislação em vigor.</w:t>
      </w:r>
    </w:p>
    <w:p w:rsidR="00866CD6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lang w:eastAsia="pt-BR"/>
        </w:rPr>
      </w:pPr>
    </w:p>
    <w:p w:rsidR="00866CD6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- Nos termos da presente Lei, o prestador dos serviços públicos de saneamento básico ficará responsável por repassar à Agência Reguladora PCJ (ARESPCJ),</w:t>
      </w:r>
      <w:r>
        <w:rPr>
          <w:rFonts w:ascii="Arial" w:hAnsi="Arial" w:cs="Arial"/>
          <w:color w:val="000000"/>
          <w:lang w:eastAsia="pt-BR"/>
        </w:rPr>
        <w:t xml:space="preserve"> d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urante a vigência do referido convênio, o valor mensal da Taxa de Regu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lação 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Fiscalização, conforme Plano de Trabalho a ser desenvolvido na municipalidade.</w:t>
      </w:r>
    </w:p>
    <w:p w:rsidR="00866CD6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70A1F" w:rsidRDefault="00870A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§ 1º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 xml:space="preserve">O valor de que trata o </w:t>
      </w:r>
      <w:r w:rsidRPr="001541C7">
        <w:rPr>
          <w:rFonts w:ascii="Arial" w:hAnsi="Arial" w:cs="Arial"/>
          <w:i/>
          <w:iCs/>
          <w:color w:val="000000"/>
          <w:sz w:val="24"/>
          <w:szCs w:val="24"/>
          <w:lang w:eastAsia="pt-BR"/>
        </w:rPr>
        <w:t xml:space="preserve">caput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será o equivalente a 0,25% (vinte e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cinco centésimos por cento) de suas receitas líquidas correntes, deduzidas as receitas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patrimoniais, referentes ao exercício anterior do orçamento do prestador dos serviços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públicos de saneamento básico no município.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§ 2º -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Preservando a isonomia entre os municípios integrantes da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ARES-PCJ, quer seja na condição de consorciado ou conveniado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, sempre que houver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decisão da Assembleia Geral de Prefeitos da ARES-PCJ, para alteração da alíquota da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Taxa de Regulação, essa se aplicará ao Município, ressalvando-se que o valor não será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superior a 0,50% (cinquenta centésimos por cento), em conformidade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 xml:space="preserve"> com o disposto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no Protocolo de Intenções da ARES-PCJ e suas Resoluções específicas.</w:t>
      </w:r>
    </w:p>
    <w:p w:rsidR="00866CD6" w:rsidRPr="001541C7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DF44D2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F44D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Art. 4º -</w:t>
      </w:r>
      <w:r w:rsidRPr="00DF44D2"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Pr="00DF44D2">
        <w:rPr>
          <w:rFonts w:ascii="Arial" w:hAnsi="Arial" w:cs="Arial"/>
          <w:bCs/>
          <w:sz w:val="24"/>
          <w:szCs w:val="24"/>
        </w:rPr>
        <w:t xml:space="preserve"> As despesas decorrentes da execução da presente lei correrão por conta de dotações próprias, consignadas no orçamento, suplementadas, se necessário.</w:t>
      </w:r>
    </w:p>
    <w:p w:rsidR="00866CD6" w:rsidRPr="00DF44D2" w:rsidRDefault="00866CD6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</w:t>
      </w:r>
      <w:r>
        <w:rPr>
          <w:rFonts w:ascii="Arial" w:hAnsi="Arial" w:cs="Arial"/>
          <w:b/>
          <w:bCs/>
          <w:color w:val="000000"/>
          <w:lang w:eastAsia="pt-BR"/>
        </w:rPr>
        <w:t>rt. 5</w:t>
      </w:r>
      <w:r w:rsidRPr="001541C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º</w:t>
      </w:r>
      <w:r>
        <w:rPr>
          <w:rFonts w:ascii="Arial" w:hAnsi="Arial" w:cs="Arial"/>
          <w:b/>
          <w:bCs/>
          <w:color w:val="000000"/>
          <w:lang w:eastAsia="pt-BR"/>
        </w:rPr>
        <w:t xml:space="preserve"> -</w:t>
      </w:r>
      <w:r w:rsidRPr="001541C7"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Esta Lei entra em vigor na data da sua publicação, revogadas as</w:t>
      </w:r>
      <w:r>
        <w:rPr>
          <w:rFonts w:ascii="Arial" w:hAnsi="Arial" w:cs="Arial"/>
          <w:color w:val="000000"/>
          <w:lang w:eastAsia="pt-BR"/>
        </w:rPr>
        <w:t xml:space="preserve"> </w:t>
      </w:r>
      <w:r w:rsidRPr="001541C7">
        <w:rPr>
          <w:rFonts w:ascii="Arial" w:hAnsi="Arial" w:cs="Arial"/>
          <w:color w:val="000000"/>
          <w:sz w:val="24"/>
          <w:szCs w:val="24"/>
          <w:lang w:eastAsia="pt-BR"/>
        </w:rPr>
        <w:t>disposições em contrário</w:t>
      </w:r>
    </w:p>
    <w:p w:rsidR="00866CD6" w:rsidRPr="001541C7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b/>
          <w:bCs/>
          <w:i/>
          <w:iCs/>
          <w:color w:val="FFFFFF"/>
          <w:sz w:val="24"/>
          <w:szCs w:val="24"/>
          <w:lang w:eastAsia="pt-BR"/>
        </w:rPr>
      </w:pPr>
      <w:r w:rsidRPr="001541C7">
        <w:rPr>
          <w:rFonts w:ascii="Arial" w:hAnsi="Arial" w:cs="Arial"/>
          <w:b/>
          <w:bCs/>
          <w:i/>
          <w:iCs/>
          <w:color w:val="FFFFFF"/>
          <w:sz w:val="24"/>
          <w:szCs w:val="24"/>
          <w:lang w:eastAsia="pt-BR"/>
        </w:rPr>
        <w:t>Registrada e publicada por afixação em igual data e em quadro próprio</w:t>
      </w:r>
    </w:p>
    <w:p w:rsidR="00866CD6" w:rsidRPr="001541C7" w:rsidRDefault="00F9321F" w:rsidP="00866CD6">
      <w:pPr>
        <w:pStyle w:val="Ttulo7"/>
        <w:tabs>
          <w:tab w:val="left" w:pos="0"/>
          <w:tab w:val="left" w:pos="9355"/>
        </w:tabs>
        <w:jc w:val="both"/>
        <w:rPr>
          <w:rFonts w:ascii="Arial" w:hAnsi="Arial" w:cs="Arial"/>
        </w:rPr>
      </w:pPr>
      <w:r w:rsidRPr="001541C7">
        <w:rPr>
          <w:rFonts w:ascii="Arial" w:hAnsi="Arial" w:cs="Arial"/>
        </w:rPr>
        <w:t>Pre</w:t>
      </w:r>
      <w:r>
        <w:rPr>
          <w:rFonts w:ascii="Arial" w:hAnsi="Arial" w:cs="Arial"/>
        </w:rPr>
        <w:t>feitura Municipal de Bebedouro, 19 de novembro de 2024</w:t>
      </w:r>
    </w:p>
    <w:p w:rsidR="00866CD6" w:rsidRPr="001541C7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  <w:sz w:val="24"/>
          <w:szCs w:val="24"/>
        </w:rPr>
      </w:pPr>
    </w:p>
    <w:p w:rsidR="00866CD6" w:rsidRPr="001541C7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  <w:sz w:val="24"/>
          <w:szCs w:val="24"/>
        </w:rPr>
      </w:pPr>
    </w:p>
    <w:p w:rsidR="00866CD6" w:rsidRPr="001541C7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  <w:sz w:val="24"/>
          <w:szCs w:val="24"/>
        </w:rPr>
      </w:pP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1C7">
        <w:rPr>
          <w:rFonts w:ascii="Arial" w:hAnsi="Arial" w:cs="Arial"/>
          <w:b/>
          <w:bCs/>
          <w:sz w:val="24"/>
          <w:szCs w:val="24"/>
        </w:rPr>
        <w:t>Lucas Gibin Seren</w:t>
      </w: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1C7">
        <w:rPr>
          <w:rFonts w:ascii="Arial" w:hAnsi="Arial" w:cs="Arial"/>
          <w:b/>
          <w:bCs/>
          <w:sz w:val="24"/>
          <w:szCs w:val="24"/>
        </w:rPr>
        <w:t xml:space="preserve">Prefeito </w:t>
      </w:r>
      <w:r w:rsidRPr="001541C7">
        <w:rPr>
          <w:rFonts w:ascii="Arial" w:hAnsi="Arial" w:cs="Arial"/>
          <w:b/>
          <w:bCs/>
          <w:sz w:val="24"/>
          <w:szCs w:val="24"/>
        </w:rPr>
        <w:t>Municipal</w:t>
      </w: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ind w:left="-993"/>
        <w:jc w:val="both"/>
        <w:rPr>
          <w:rFonts w:ascii="Arial" w:hAnsi="Arial" w:cs="Arial"/>
          <w:b/>
          <w:bCs/>
        </w:rPr>
      </w:pPr>
    </w:p>
    <w:p w:rsidR="00866CD6" w:rsidRDefault="00866CD6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  <w:r w:rsidRPr="001541C7">
        <w:rPr>
          <w:rFonts w:ascii="Arial" w:hAnsi="Arial" w:cs="Arial"/>
          <w:bCs/>
          <w:sz w:val="24"/>
          <w:szCs w:val="24"/>
        </w:rPr>
        <w:t>Bebedouro Capital Nacional da Laranja,</w:t>
      </w:r>
      <w:r>
        <w:rPr>
          <w:rFonts w:ascii="Arial" w:hAnsi="Arial" w:cs="Arial"/>
          <w:bCs/>
          <w:sz w:val="24"/>
          <w:szCs w:val="24"/>
        </w:rPr>
        <w:t xml:space="preserve"> 19</w:t>
      </w:r>
      <w:r>
        <w:rPr>
          <w:rFonts w:ascii="Arial" w:hAnsi="Arial" w:cs="Arial"/>
          <w:bCs/>
        </w:rPr>
        <w:t xml:space="preserve"> </w:t>
      </w:r>
      <w:r w:rsidRPr="00054083">
        <w:rPr>
          <w:rFonts w:ascii="Arial" w:hAnsi="Arial" w:cs="Arial"/>
          <w:bCs/>
          <w:sz w:val="24"/>
          <w:szCs w:val="24"/>
        </w:rPr>
        <w:t>de novembro de 2024</w:t>
      </w: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  <w:r w:rsidRPr="001541C7">
        <w:rPr>
          <w:rFonts w:ascii="Arial" w:hAnsi="Arial" w:cs="Arial"/>
          <w:bCs/>
          <w:sz w:val="24"/>
          <w:szCs w:val="24"/>
        </w:rPr>
        <w:t>OEP/</w:t>
      </w:r>
      <w:r>
        <w:rPr>
          <w:rFonts w:ascii="Arial" w:hAnsi="Arial" w:cs="Arial"/>
          <w:bCs/>
          <w:sz w:val="24"/>
          <w:szCs w:val="24"/>
        </w:rPr>
        <w:t>579/2024</w:t>
      </w:r>
    </w:p>
    <w:p w:rsidR="00866CD6" w:rsidRDefault="00866CD6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  <w:r w:rsidRPr="001541C7">
        <w:rPr>
          <w:rFonts w:ascii="Arial" w:hAnsi="Arial" w:cs="Arial"/>
          <w:bCs/>
          <w:sz w:val="24"/>
          <w:szCs w:val="24"/>
        </w:rPr>
        <w:t>Senhor Presidente</w:t>
      </w:r>
    </w:p>
    <w:p w:rsidR="00866CD6" w:rsidRDefault="00866CD6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Cs/>
          <w:sz w:val="24"/>
          <w:szCs w:val="24"/>
        </w:rPr>
      </w:pPr>
    </w:p>
    <w:p w:rsidR="00866CD6" w:rsidRPr="007A38B3" w:rsidRDefault="00F9321F" w:rsidP="00866CD6">
      <w:pPr>
        <w:tabs>
          <w:tab w:val="left" w:pos="9355"/>
        </w:tabs>
        <w:adjustRightInd w:val="0"/>
        <w:jc w:val="both"/>
        <w:rPr>
          <w:rFonts w:ascii="Arial" w:hAnsi="Arial" w:cs="Arial"/>
          <w:iCs/>
          <w:color w:val="000000"/>
          <w:sz w:val="23"/>
          <w:szCs w:val="23"/>
          <w:lang w:eastAsia="pt-BR"/>
        </w:rPr>
      </w:pPr>
      <w:r w:rsidRPr="007A38B3">
        <w:rPr>
          <w:rFonts w:ascii="Arial" w:hAnsi="Arial" w:cs="Arial"/>
          <w:bCs/>
          <w:sz w:val="23"/>
          <w:szCs w:val="23"/>
        </w:rPr>
        <w:t>Encaminhamos para apreciação e aprovação dessa Egrégia Câmara</w:t>
      </w:r>
      <w:r w:rsidRPr="007A38B3">
        <w:rPr>
          <w:rFonts w:ascii="Arial" w:hAnsi="Arial" w:cs="Arial"/>
          <w:sz w:val="23"/>
          <w:szCs w:val="23"/>
        </w:rPr>
        <w:t>,</w:t>
      </w:r>
      <w:r w:rsidRPr="007A38B3">
        <w:rPr>
          <w:rFonts w:ascii="Arial" w:hAnsi="Arial" w:cs="Arial"/>
          <w:b/>
          <w:bCs/>
          <w:sz w:val="23"/>
          <w:szCs w:val="23"/>
        </w:rPr>
        <w:t xml:space="preserve"> em regime de urgência, </w:t>
      </w:r>
      <w:r w:rsidRPr="007A38B3">
        <w:rPr>
          <w:rFonts w:ascii="Arial" w:hAnsi="Arial" w:cs="Arial"/>
          <w:bCs/>
          <w:sz w:val="23"/>
          <w:szCs w:val="23"/>
        </w:rPr>
        <w:t xml:space="preserve">o Projeto de Lei que </w:t>
      </w:r>
      <w:r w:rsidRPr="007A38B3">
        <w:rPr>
          <w:rFonts w:ascii="Arial" w:hAnsi="Arial" w:cs="Arial"/>
          <w:iCs/>
          <w:color w:val="000000"/>
          <w:sz w:val="23"/>
          <w:szCs w:val="23"/>
          <w:lang w:eastAsia="pt-BR"/>
        </w:rPr>
        <w:t xml:space="preserve">Autoriza o Chefe </w:t>
      </w:r>
      <w:r w:rsidRPr="007A38B3">
        <w:rPr>
          <w:rFonts w:ascii="Arial" w:hAnsi="Arial" w:cs="Arial"/>
          <w:iCs/>
          <w:color w:val="000000"/>
          <w:sz w:val="23"/>
          <w:szCs w:val="23"/>
          <w:lang w:eastAsia="pt-BR"/>
        </w:rPr>
        <w:t>do Poder Executivo Municipal a firmar Convênio de Cooperação com a Agência Reguladora dos Serviços de Saneamento das Bacias dos Rios Piracicaba, Capivari e Jundiaí – ARES-PCJ, para delegação das competências municipais de regulação e fiscalização da presta</w:t>
      </w:r>
      <w:r w:rsidRPr="007A38B3">
        <w:rPr>
          <w:rFonts w:ascii="Arial" w:hAnsi="Arial" w:cs="Arial"/>
          <w:iCs/>
          <w:color w:val="000000"/>
          <w:sz w:val="23"/>
          <w:szCs w:val="23"/>
          <w:lang w:eastAsia="pt-BR"/>
        </w:rPr>
        <w:t>ção dos serviços de saneamento básico, e dá outras providências”.</w:t>
      </w:r>
    </w:p>
    <w:p w:rsidR="00866CD6" w:rsidRPr="007A38B3" w:rsidRDefault="00866CD6" w:rsidP="00866CD6">
      <w:pPr>
        <w:tabs>
          <w:tab w:val="left" w:pos="9355"/>
        </w:tabs>
        <w:jc w:val="both"/>
        <w:rPr>
          <w:rFonts w:ascii="Arial" w:hAnsi="Arial" w:cs="Arial"/>
          <w:bCs/>
          <w:sz w:val="23"/>
          <w:szCs w:val="23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>Considerando que a Constituição Federal de 1988, em seu art. 241, através de nova redação dada pela Emenda Constitucional nº 19, de 04 de junho de 1998, autoriza os Municípios a promoverem,</w:t>
      </w:r>
      <w:r w:rsidRPr="007A38B3">
        <w:rPr>
          <w:rFonts w:ascii="Arial" w:hAnsi="Arial" w:cs="Arial"/>
          <w:sz w:val="23"/>
          <w:szCs w:val="23"/>
          <w:lang w:eastAsia="pt-BR"/>
        </w:rPr>
        <w:t xml:space="preserve"> através de Consórcios Públicos legalmente constituídos, a gestão associada de serviços públicos, bem como a transferência total ou parcial de encargos, serviços, pessoal e bens essenciais à continuidade dos serviços transferidos.</w:t>
      </w:r>
    </w:p>
    <w:p w:rsidR="00866CD6" w:rsidRPr="007A38B3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>Considerando que a Lei federal nº 11.107, de 06 de abril de 2005, Lei dos Consórcios Públicos, dispõe sobre normas gerais de contratação de consórcios públicos para a realização de objetivos de interesse comum entre Entes da Federação, lei que foi regulame</w:t>
      </w:r>
      <w:r w:rsidRPr="007A38B3">
        <w:rPr>
          <w:rFonts w:ascii="Arial" w:hAnsi="Arial" w:cs="Arial"/>
          <w:sz w:val="23"/>
          <w:szCs w:val="23"/>
          <w:lang w:eastAsia="pt-BR"/>
        </w:rPr>
        <w:t xml:space="preserve">ntada pelo Decreto federal nº 6.017, de 17 de janeiro de 2007, que dispõe de normas para a sua execução.  </w:t>
      </w:r>
    </w:p>
    <w:p w:rsidR="00866CD6" w:rsidRPr="007A38B3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 xml:space="preserve">Considerando que a Lei </w:t>
      </w:r>
      <w:r w:rsidR="00DD7F07">
        <w:rPr>
          <w:rFonts w:ascii="Arial" w:hAnsi="Arial" w:cs="Arial"/>
          <w:sz w:val="23"/>
          <w:szCs w:val="23"/>
          <w:lang w:eastAsia="pt-BR"/>
        </w:rPr>
        <w:t>F</w:t>
      </w:r>
      <w:r w:rsidRPr="007A38B3">
        <w:rPr>
          <w:rFonts w:ascii="Arial" w:hAnsi="Arial" w:cs="Arial"/>
          <w:sz w:val="23"/>
          <w:szCs w:val="23"/>
          <w:lang w:eastAsia="pt-BR"/>
        </w:rPr>
        <w:t>ederal nº 11.445, de 05 de janeiro de 2007, alterada pela Lei federal nº 14.026, de 15 de julho de 2020, estabelece Diretriz</w:t>
      </w:r>
      <w:r w:rsidRPr="007A38B3">
        <w:rPr>
          <w:rFonts w:ascii="Arial" w:hAnsi="Arial" w:cs="Arial"/>
          <w:sz w:val="23"/>
          <w:szCs w:val="23"/>
          <w:lang w:eastAsia="pt-BR"/>
        </w:rPr>
        <w:t>es Nacionais para o Saneamento Básico e define que o saneamento básico é o conjunto de serviços, infraestruturas e instalações operacionais de abastecimento de água potável, esgotamento sanitário, limpeza urbana e manejo de resíduos sólidos e drenagem e ma</w:t>
      </w:r>
      <w:r w:rsidRPr="007A38B3">
        <w:rPr>
          <w:rFonts w:ascii="Arial" w:hAnsi="Arial" w:cs="Arial"/>
          <w:sz w:val="23"/>
          <w:szCs w:val="23"/>
          <w:lang w:eastAsia="pt-BR"/>
        </w:rPr>
        <w:t>nejo das águas pluviais urbana, lei que foi regulamentada pelo Decreto federal nº7.217, de 21 de junho de 2010, que dispõe de normas para a sua execução.</w:t>
      </w:r>
    </w:p>
    <w:p w:rsidR="00866CD6" w:rsidRPr="007A38B3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>Considerando que, segundo a Política Nacional de Saneamento Básico - PNSB, os Municípios respondem pe</w:t>
      </w:r>
      <w:r w:rsidRPr="007A38B3">
        <w:rPr>
          <w:rFonts w:ascii="Arial" w:hAnsi="Arial" w:cs="Arial"/>
          <w:sz w:val="23"/>
          <w:szCs w:val="23"/>
          <w:lang w:eastAsia="pt-BR"/>
        </w:rPr>
        <w:t xml:space="preserve">lo planejamento, regulação e fiscalização dos serviços de saneamento básico, além de serem, também, responsáveis pela prestação dos serviços, seja por meio de serviços próprios, seja por meio da contratação de terceiros. </w:t>
      </w:r>
    </w:p>
    <w:p w:rsidR="00866CD6" w:rsidRPr="007A38B3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>Considerando que, segundo a Lei N</w:t>
      </w:r>
      <w:r w:rsidRPr="007A38B3">
        <w:rPr>
          <w:rFonts w:ascii="Arial" w:hAnsi="Arial" w:cs="Arial"/>
          <w:sz w:val="23"/>
          <w:szCs w:val="23"/>
          <w:lang w:eastAsia="pt-BR"/>
        </w:rPr>
        <w:t>acional de Saneamento Básico, as funções de planejamento, de regulação e de fiscalização dos serviços de saneamento são distintas e devem ser exercidas de forma autônoma, ou seja, por quem não acumula a função de prestador desses serviços, sendo necessária</w:t>
      </w:r>
      <w:r w:rsidRPr="007A38B3">
        <w:rPr>
          <w:rFonts w:ascii="Arial" w:hAnsi="Arial" w:cs="Arial"/>
          <w:sz w:val="23"/>
          <w:szCs w:val="23"/>
          <w:lang w:eastAsia="pt-BR"/>
        </w:rPr>
        <w:t>, dessa forma, a criação de órgão distinto, no âmbito da administração direta ou indireta.</w:t>
      </w:r>
    </w:p>
    <w:p w:rsidR="00866CD6" w:rsidRPr="007A38B3" w:rsidRDefault="00866CD6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</w:p>
    <w:p w:rsidR="00866CD6" w:rsidRPr="007A38B3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7A38B3">
        <w:rPr>
          <w:rFonts w:ascii="Arial" w:hAnsi="Arial" w:cs="Arial"/>
          <w:sz w:val="23"/>
          <w:szCs w:val="23"/>
          <w:lang w:eastAsia="pt-BR"/>
        </w:rPr>
        <w:t>Considerando que a Lei federal nº 11.445/2007, através de seu art. 8º, § 5º, que o titular dos serviços públicos de saneamento básico, nesse caso os Municípios, dev</w:t>
      </w:r>
      <w:r w:rsidRPr="007A38B3">
        <w:rPr>
          <w:rFonts w:ascii="Arial" w:hAnsi="Arial" w:cs="Arial"/>
          <w:sz w:val="23"/>
          <w:szCs w:val="23"/>
          <w:lang w:eastAsia="pt-BR"/>
        </w:rPr>
        <w:t>erá definir a entidade responsável pela regulação e fiscalização desses serviços, Independentemente, da modalidade de sua prestação.</w:t>
      </w:r>
    </w:p>
    <w:p w:rsidR="00866CD6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DD7F07" w:rsidRDefault="00DD7F07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DD7F07" w:rsidRPr="00866CD6" w:rsidRDefault="00DD7F07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866CD6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866CD6">
        <w:rPr>
          <w:rFonts w:ascii="Arial" w:hAnsi="Arial" w:cs="Arial"/>
          <w:sz w:val="23"/>
          <w:szCs w:val="23"/>
          <w:lang w:eastAsia="pt-BR"/>
        </w:rPr>
        <w:lastRenderedPageBreak/>
        <w:t>Considerando, ainda, a proposta de criação da Agência Reguladora ARES-PCJ, que envolveu a constituição de um consórcio p</w:t>
      </w:r>
      <w:r w:rsidRPr="00866CD6">
        <w:rPr>
          <w:rFonts w:ascii="Arial" w:hAnsi="Arial" w:cs="Arial"/>
          <w:sz w:val="23"/>
          <w:szCs w:val="23"/>
          <w:lang w:eastAsia="pt-BR"/>
        </w:rPr>
        <w:t xml:space="preserve">úblico específico para fins de regulação e fiscalização dos serviços públicos de saneamento básico de âmbito regional. </w:t>
      </w:r>
    </w:p>
    <w:p w:rsidR="00866CD6" w:rsidRPr="00866CD6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866CD6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866CD6">
        <w:rPr>
          <w:rFonts w:ascii="Arial" w:hAnsi="Arial" w:cs="Arial"/>
          <w:sz w:val="23"/>
          <w:szCs w:val="23"/>
          <w:lang w:eastAsia="pt-BR"/>
        </w:rPr>
        <w:t>Considerando que, em face da experiência de atuação regional acumulada pela ARES-PCJ, que atende mais de 65 (sessenta e cinco) municípi</w:t>
      </w:r>
      <w:r w:rsidRPr="00866CD6">
        <w:rPr>
          <w:rFonts w:ascii="Arial" w:hAnsi="Arial" w:cs="Arial"/>
          <w:sz w:val="23"/>
          <w:szCs w:val="23"/>
          <w:lang w:eastAsia="pt-BR"/>
        </w:rPr>
        <w:t>os do Estado de São Paulo, entendeu-se que o atendimento às exigências da Lei federal nº 11.445/2007 deva ser de forma integrada, e que a regulação e a fiscalização da prestação dos serviços públicos de saneamento básico, com custos reduzidos, necessitam d</w:t>
      </w:r>
      <w:r w:rsidRPr="00866CD6">
        <w:rPr>
          <w:rFonts w:ascii="Arial" w:hAnsi="Arial" w:cs="Arial"/>
          <w:sz w:val="23"/>
          <w:szCs w:val="23"/>
          <w:lang w:eastAsia="pt-BR"/>
        </w:rPr>
        <w:t>e ganho de escala, e a integração regional, através de consórcio público, pode ser a solução mais adequada.</w:t>
      </w:r>
    </w:p>
    <w:p w:rsidR="00866CD6" w:rsidRPr="00866CD6" w:rsidRDefault="00866CD6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</w:p>
    <w:p w:rsidR="00866CD6" w:rsidRPr="00866CD6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866CD6">
        <w:rPr>
          <w:rFonts w:ascii="Arial" w:hAnsi="Arial" w:cs="Arial"/>
          <w:sz w:val="23"/>
          <w:szCs w:val="23"/>
          <w:lang w:eastAsia="pt-BR"/>
        </w:rPr>
        <w:t>Considerando a necessidade do Município de Bebedouro/SP em atender à Lei Federal nº 11.445/2007, em especial a designação do ente regulador, notada</w:t>
      </w:r>
      <w:r w:rsidRPr="00866CD6">
        <w:rPr>
          <w:rFonts w:ascii="Arial" w:hAnsi="Arial" w:cs="Arial"/>
          <w:sz w:val="23"/>
          <w:szCs w:val="23"/>
          <w:lang w:eastAsia="pt-BR"/>
        </w:rPr>
        <w:t>mente para a diretriz constitucional e resguardo ao princípio democrático, que exige que a atividade pública, no possível, seja exercida de forma local, ao alcance do cidadão, e entendeu-se que a forma adequada para o desafio de regular e fiscalizar os ser</w:t>
      </w:r>
      <w:r w:rsidRPr="00866CD6">
        <w:rPr>
          <w:rFonts w:ascii="Arial" w:hAnsi="Arial" w:cs="Arial"/>
          <w:sz w:val="23"/>
          <w:szCs w:val="23"/>
          <w:lang w:eastAsia="pt-BR"/>
        </w:rPr>
        <w:t>viços públicos de saneamento básico é através da integração regional que exige regulação uniforme.</w:t>
      </w:r>
    </w:p>
    <w:p w:rsidR="00866CD6" w:rsidRPr="00866CD6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866CD6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  <w:lang w:eastAsia="pt-BR"/>
        </w:rPr>
      </w:pPr>
      <w:r w:rsidRPr="00866CD6">
        <w:rPr>
          <w:rFonts w:ascii="Arial" w:hAnsi="Arial" w:cs="Arial"/>
          <w:sz w:val="23"/>
          <w:szCs w:val="23"/>
          <w:lang w:eastAsia="pt-BR"/>
        </w:rPr>
        <w:t xml:space="preserve">Considerando o fundamento da execução mediante cooperação interfederativa essas atividades e a gestão associada de serviços públicos, enunciada no art. 241 </w:t>
      </w:r>
      <w:r w:rsidRPr="00866CD6">
        <w:rPr>
          <w:rFonts w:ascii="Arial" w:hAnsi="Arial" w:cs="Arial"/>
          <w:sz w:val="23"/>
          <w:szCs w:val="23"/>
          <w:lang w:eastAsia="pt-BR"/>
        </w:rPr>
        <w:t>da Constituição Federal (com redação dada pela Emenda Constitucional nº 19), disciplinada pela Lei federal nº 11.107/2005 e regulamentada pelo Decreto nº 6.017/2007, legislação essa totalmente compatível com as diretrizes do saneamento básico, previstas no</w:t>
      </w:r>
      <w:r w:rsidRPr="00866CD6">
        <w:rPr>
          <w:rFonts w:ascii="Arial" w:hAnsi="Arial" w:cs="Arial"/>
          <w:sz w:val="23"/>
          <w:szCs w:val="23"/>
          <w:lang w:eastAsia="pt-BR"/>
        </w:rPr>
        <w:t xml:space="preserve"> art. 21, inc. XX, da Constituição, e instituídas pela Lei federal nº 11.445/2007.</w:t>
      </w:r>
    </w:p>
    <w:p w:rsidR="00866CD6" w:rsidRPr="00866CD6" w:rsidRDefault="00866CD6" w:rsidP="00866CD6">
      <w:pPr>
        <w:adjustRightInd w:val="0"/>
        <w:rPr>
          <w:rFonts w:ascii="Arial" w:hAnsi="Arial" w:cs="Arial"/>
          <w:sz w:val="23"/>
          <w:szCs w:val="23"/>
          <w:lang w:eastAsia="pt-BR"/>
        </w:rPr>
      </w:pPr>
    </w:p>
    <w:p w:rsidR="00866CD6" w:rsidRPr="00866CD6" w:rsidRDefault="00F9321F" w:rsidP="00866CD6">
      <w:pPr>
        <w:adjustRightInd w:val="0"/>
        <w:jc w:val="both"/>
        <w:rPr>
          <w:rFonts w:ascii="Arial" w:hAnsi="Arial" w:cs="Arial"/>
          <w:sz w:val="23"/>
          <w:szCs w:val="23"/>
        </w:rPr>
      </w:pPr>
      <w:r w:rsidRPr="00866CD6">
        <w:rPr>
          <w:rFonts w:ascii="Arial" w:hAnsi="Arial" w:cs="Arial"/>
          <w:sz w:val="23"/>
          <w:szCs w:val="23"/>
          <w:lang w:eastAsia="pt-BR"/>
        </w:rPr>
        <w:t>Entende, portanto, o Poder Executivo Municipal, que a adesão ao consórcio público Agência Reguladora dos Serviços de Saneamento das Bacias dos Rios Piracicaba, Capivari e J</w:t>
      </w:r>
      <w:r w:rsidRPr="00866CD6">
        <w:rPr>
          <w:rFonts w:ascii="Arial" w:hAnsi="Arial" w:cs="Arial"/>
          <w:sz w:val="23"/>
          <w:szCs w:val="23"/>
          <w:lang w:eastAsia="pt-BR"/>
        </w:rPr>
        <w:t>undiaí (ARES-PCJ) é o modelo mais eficiente para o cumprimento da Lei, já que é uma opção mais barata do que a criação e manutenção de uma autarquia municipal de regulação e muito mais vantajosa em virtude de toda a experiência e estrutura que serão aprove</w:t>
      </w:r>
      <w:r w:rsidRPr="00866CD6">
        <w:rPr>
          <w:rFonts w:ascii="Arial" w:hAnsi="Arial" w:cs="Arial"/>
          <w:sz w:val="23"/>
          <w:szCs w:val="23"/>
          <w:lang w:eastAsia="pt-BR"/>
        </w:rPr>
        <w:t>itadas pelo Município, já que a Agência Reguladora ARES-PCJ dispõe de mais de 12 anos de existência e estruturação</w:t>
      </w:r>
    </w:p>
    <w:p w:rsidR="00866CD6" w:rsidRDefault="00866CD6" w:rsidP="00866CD6">
      <w:pPr>
        <w:tabs>
          <w:tab w:val="left" w:pos="9355"/>
        </w:tabs>
        <w:jc w:val="both"/>
        <w:rPr>
          <w:rFonts w:ascii="Arial" w:hAnsi="Arial" w:cs="Arial"/>
          <w:sz w:val="23"/>
          <w:szCs w:val="23"/>
        </w:rPr>
      </w:pPr>
    </w:p>
    <w:p w:rsidR="00866CD6" w:rsidRPr="00866CD6" w:rsidRDefault="00866CD6" w:rsidP="00866CD6">
      <w:pPr>
        <w:tabs>
          <w:tab w:val="left" w:pos="9355"/>
        </w:tabs>
        <w:jc w:val="both"/>
        <w:rPr>
          <w:rFonts w:ascii="Arial" w:hAnsi="Arial" w:cs="Arial"/>
          <w:sz w:val="23"/>
          <w:szCs w:val="23"/>
        </w:rPr>
      </w:pPr>
    </w:p>
    <w:p w:rsidR="00866CD6" w:rsidRPr="00866CD6" w:rsidRDefault="00F9321F" w:rsidP="00866CD6">
      <w:pPr>
        <w:tabs>
          <w:tab w:val="left" w:pos="9355"/>
        </w:tabs>
        <w:jc w:val="both"/>
        <w:rPr>
          <w:rFonts w:ascii="Arial" w:hAnsi="Arial" w:cs="Arial"/>
          <w:sz w:val="23"/>
          <w:szCs w:val="23"/>
        </w:rPr>
      </w:pPr>
      <w:r w:rsidRPr="00866CD6">
        <w:rPr>
          <w:rFonts w:ascii="Arial" w:hAnsi="Arial" w:cs="Arial"/>
          <w:sz w:val="23"/>
          <w:szCs w:val="23"/>
        </w:rPr>
        <w:t>Atenciosamente.</w:t>
      </w:r>
    </w:p>
    <w:p w:rsidR="00866CD6" w:rsidRPr="001541C7" w:rsidRDefault="00866CD6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866CD6" w:rsidRDefault="00866CD6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</w:rPr>
      </w:pPr>
    </w:p>
    <w:p w:rsidR="007A38B3" w:rsidRDefault="007A38B3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</w:rPr>
      </w:pPr>
    </w:p>
    <w:p w:rsidR="007A38B3" w:rsidRDefault="007A38B3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</w:rPr>
      </w:pP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1C7">
        <w:rPr>
          <w:rFonts w:ascii="Arial" w:hAnsi="Arial" w:cs="Arial"/>
          <w:b/>
          <w:bCs/>
          <w:sz w:val="24"/>
          <w:szCs w:val="24"/>
        </w:rPr>
        <w:t>Lucas Gibin Seren</w:t>
      </w:r>
    </w:p>
    <w:p w:rsidR="00866CD6" w:rsidRPr="001541C7" w:rsidRDefault="00F9321F" w:rsidP="00866CD6">
      <w:pPr>
        <w:tabs>
          <w:tab w:val="left" w:pos="-142"/>
          <w:tab w:val="left" w:pos="935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1C7">
        <w:rPr>
          <w:rFonts w:ascii="Arial" w:hAnsi="Arial" w:cs="Arial"/>
          <w:b/>
          <w:bCs/>
          <w:sz w:val="24"/>
          <w:szCs w:val="24"/>
        </w:rPr>
        <w:t>Prefeito Municipal</w:t>
      </w:r>
    </w:p>
    <w:p w:rsidR="00866CD6" w:rsidRDefault="00866CD6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866CD6" w:rsidRDefault="00866CD6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7A38B3" w:rsidRDefault="007A38B3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7A38B3" w:rsidRDefault="007A38B3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866CD6" w:rsidRPr="001541C7" w:rsidRDefault="00866CD6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</w:p>
    <w:p w:rsidR="00866CD6" w:rsidRPr="001541C7" w:rsidRDefault="00F9321F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1541C7">
        <w:rPr>
          <w:rFonts w:ascii="Arial" w:hAnsi="Arial" w:cs="Arial"/>
          <w:b/>
          <w:sz w:val="24"/>
          <w:szCs w:val="24"/>
        </w:rPr>
        <w:t>À Sua Excelência o Senhor</w:t>
      </w:r>
    </w:p>
    <w:p w:rsidR="00866CD6" w:rsidRPr="001541C7" w:rsidRDefault="00F9321F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1541C7">
        <w:rPr>
          <w:rFonts w:ascii="Arial" w:hAnsi="Arial" w:cs="Arial"/>
          <w:b/>
          <w:sz w:val="24"/>
          <w:szCs w:val="24"/>
        </w:rPr>
        <w:t>Dr. Edgar Cheli Junior</w:t>
      </w:r>
    </w:p>
    <w:p w:rsidR="00866CD6" w:rsidRDefault="00F9321F" w:rsidP="00866CD6">
      <w:pPr>
        <w:tabs>
          <w:tab w:val="left" w:pos="9355"/>
        </w:tabs>
        <w:jc w:val="both"/>
        <w:rPr>
          <w:rFonts w:ascii="Arial" w:hAnsi="Arial" w:cs="Arial"/>
          <w:b/>
          <w:sz w:val="24"/>
          <w:szCs w:val="24"/>
        </w:rPr>
      </w:pPr>
      <w:r w:rsidRPr="001541C7">
        <w:rPr>
          <w:rFonts w:ascii="Arial" w:hAnsi="Arial" w:cs="Arial"/>
          <w:b/>
          <w:sz w:val="24"/>
          <w:szCs w:val="24"/>
        </w:rPr>
        <w:t xml:space="preserve">Presidente da Câmara </w:t>
      </w:r>
      <w:r w:rsidRPr="001541C7">
        <w:rPr>
          <w:rFonts w:ascii="Arial" w:hAnsi="Arial" w:cs="Arial"/>
          <w:b/>
          <w:sz w:val="24"/>
          <w:szCs w:val="24"/>
        </w:rPr>
        <w:t>Municipal de Bebedouro</w:t>
      </w:r>
    </w:p>
    <w:p w:rsidR="003351CF" w:rsidRDefault="00F9321F" w:rsidP="00323880">
      <w:pPr>
        <w:tabs>
          <w:tab w:val="left" w:pos="9355"/>
        </w:tabs>
        <w:jc w:val="both"/>
      </w:pPr>
      <w:r w:rsidRPr="001541C7">
        <w:rPr>
          <w:rFonts w:ascii="Arial" w:hAnsi="Arial" w:cs="Arial"/>
          <w:b/>
          <w:sz w:val="24"/>
          <w:szCs w:val="24"/>
          <w:u w:val="thick"/>
        </w:rPr>
        <w:t>Bebedouro-SP.</w:t>
      </w:r>
    </w:p>
    <w:sectPr w:rsidR="003351CF" w:rsidSect="00866CD6">
      <w:headerReference w:type="default" r:id="rId6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1F" w:rsidRDefault="00F9321F">
      <w:r>
        <w:separator/>
      </w:r>
    </w:p>
  </w:endnote>
  <w:endnote w:type="continuationSeparator" w:id="0">
    <w:p w:rsidR="00F9321F" w:rsidRDefault="00F9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1F" w:rsidRDefault="00F9321F">
      <w:r>
        <w:separator/>
      </w:r>
    </w:p>
  </w:footnote>
  <w:footnote w:type="continuationSeparator" w:id="0">
    <w:p w:rsidR="00F9321F" w:rsidRDefault="00F9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CD6" w:rsidRDefault="00F9321F">
    <w:pPr>
      <w:pStyle w:val="Cabealho"/>
    </w:pPr>
    <w:r w:rsidRPr="00A0123E">
      <w:rPr>
        <w:noProof/>
        <w:u w:val="single"/>
        <w:lang w:val="pt-BR" w:eastAsia="pt-BR"/>
      </w:rPr>
      <w:drawing>
        <wp:inline distT="0" distB="0" distL="0" distR="0">
          <wp:extent cx="5400040" cy="872734"/>
          <wp:effectExtent l="0" t="0" r="0" b="3810"/>
          <wp:docPr id="12" name="Imagem 12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74472" name="Imagem 1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D6"/>
    <w:rsid w:val="00054083"/>
    <w:rsid w:val="000931E8"/>
    <w:rsid w:val="00093ABB"/>
    <w:rsid w:val="001541C7"/>
    <w:rsid w:val="00280EC8"/>
    <w:rsid w:val="00323880"/>
    <w:rsid w:val="003351CF"/>
    <w:rsid w:val="007A38B3"/>
    <w:rsid w:val="00866CD6"/>
    <w:rsid w:val="00870A1F"/>
    <w:rsid w:val="00AC38E3"/>
    <w:rsid w:val="00DA17C5"/>
    <w:rsid w:val="00DD7F07"/>
    <w:rsid w:val="00DF44D2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E75D"/>
  <w15:chartTrackingRefBased/>
  <w15:docId w15:val="{A434301F-9590-45A2-840D-70832F7D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6C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7">
    <w:name w:val="heading 7"/>
    <w:basedOn w:val="Normal"/>
    <w:next w:val="Normal"/>
    <w:link w:val="Ttulo7Char"/>
    <w:qFormat/>
    <w:rsid w:val="00866CD6"/>
    <w:pPr>
      <w:widowControl/>
      <w:suppressAutoHyphens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66C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66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6CD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6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6CD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Ivanira de Souza</dc:creator>
  <cp:lastModifiedBy>lidiane</cp:lastModifiedBy>
  <cp:revision>9</cp:revision>
  <dcterms:created xsi:type="dcterms:W3CDTF">2024-11-19T16:20:00Z</dcterms:created>
  <dcterms:modified xsi:type="dcterms:W3CDTF">2024-11-19T22:23:00Z</dcterms:modified>
</cp:coreProperties>
</file>