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4F" w:rsidRDefault="00B83C4F" w:rsidP="00B83C4F">
      <w:pPr>
        <w:ind w:left="3969"/>
        <w:jc w:val="both"/>
      </w:pPr>
      <w:r>
        <w:rPr>
          <w:rFonts w:ascii="Calibri" w:hAnsi="Calibri" w:cs="Calibri"/>
          <w:b/>
          <w:u w:val="single"/>
        </w:rPr>
        <w:t>PROJETO DE RESOLUÇÃO 03/2024: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Dispõe sobre a transferência à Prefeitura Municipal de Bebedouro - SP - de bens móveis da Câmara Municipal de Bebedouro, considerados ociosos pela Comissão de Recebimento e Baixa de Patrimônio da Edilidade, que especifica e dá outras providências.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123DB1" w:rsidRDefault="00123DB1" w:rsidP="00B83C4F">
      <w:pPr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D39A4">
        <w:rPr>
          <w:rFonts w:ascii="Arial" w:hAnsi="Arial" w:cs="Arial"/>
          <w:sz w:val="22"/>
          <w:szCs w:val="22"/>
        </w:rPr>
        <w:t xml:space="preserve">5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8D39A4">
        <w:rPr>
          <w:rFonts w:ascii="Arial" w:hAnsi="Arial" w:cs="Arial"/>
          <w:sz w:val="22"/>
          <w:szCs w:val="22"/>
        </w:rPr>
        <w:t>fevereiro d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e 202</w:t>
      </w:r>
      <w:r w:rsidR="00EA07B2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640A13" w:rsidRPr="00A34C5A" w:rsidRDefault="00A5706F" w:rsidP="00A34C5A"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9A4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7C7CED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9D0F-0C37-4A25-A137-DA01FF90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1</Pages>
  <Words>234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15</cp:revision>
  <cp:lastPrinted>2022-10-10T14:22:00Z</cp:lastPrinted>
  <dcterms:created xsi:type="dcterms:W3CDTF">2023-03-24T19:54:00Z</dcterms:created>
  <dcterms:modified xsi:type="dcterms:W3CDTF">2024-02-02T16:42:00Z</dcterms:modified>
</cp:coreProperties>
</file>