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7DE2E" w14:textId="77777777" w:rsidR="004207F5" w:rsidRDefault="004207F5" w:rsidP="004207F5">
      <w:pPr>
        <w:autoSpaceDE w:val="0"/>
        <w:autoSpaceDN w:val="0"/>
        <w:adjustRightInd w:val="0"/>
        <w:ind w:left="340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29/2023: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Concede título de Cidadão Bebedourense ao Senhor Cassiano Figueiredo Neto, que especifica e dá outras providências.</w:t>
      </w:r>
    </w:p>
    <w:p w14:paraId="5A7465FC" w14:textId="77777777" w:rsidR="00CA787F" w:rsidRDefault="00CA787F" w:rsidP="00CA787F">
      <w:pPr>
        <w:autoSpaceDE w:val="0"/>
        <w:autoSpaceDN w:val="0"/>
        <w:adjustRightInd w:val="0"/>
        <w:ind w:left="340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7C3D99FB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032EC8">
        <w:rPr>
          <w:rFonts w:ascii="Arial" w:hAnsi="Arial" w:cs="Arial"/>
          <w:sz w:val="22"/>
          <w:szCs w:val="22"/>
        </w:rPr>
        <w:t xml:space="preserve">11 </w:t>
      </w:r>
      <w:bookmarkStart w:id="0" w:name="_GoBack"/>
      <w:bookmarkEnd w:id="0"/>
      <w:r w:rsidRPr="008E6CA7">
        <w:rPr>
          <w:rFonts w:ascii="Arial" w:hAnsi="Arial" w:cs="Arial"/>
          <w:sz w:val="22"/>
          <w:szCs w:val="22"/>
        </w:rPr>
        <w:t xml:space="preserve">de </w:t>
      </w:r>
      <w:r w:rsidR="007B5216">
        <w:rPr>
          <w:rFonts w:ascii="Arial" w:hAnsi="Arial" w:cs="Arial"/>
          <w:sz w:val="22"/>
          <w:szCs w:val="22"/>
        </w:rPr>
        <w:t xml:space="preserve">dezembro </w:t>
      </w:r>
      <w:r w:rsidRPr="008E6CA7">
        <w:rPr>
          <w:rFonts w:ascii="Arial" w:hAnsi="Arial" w:cs="Arial"/>
          <w:sz w:val="22"/>
          <w:szCs w:val="22"/>
        </w:rPr>
        <w:t>de 202</w:t>
      </w:r>
      <w:r w:rsidR="00677834">
        <w:rPr>
          <w:rFonts w:ascii="Arial" w:hAnsi="Arial" w:cs="Arial"/>
          <w:sz w:val="22"/>
          <w:szCs w:val="22"/>
        </w:rPr>
        <w:t>3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76174C0" w14:textId="77777777" w:rsidR="00B50C51" w:rsidRDefault="00B50C51" w:rsidP="00B50C5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Paulo Aurélio Bianchini</w:t>
      </w:r>
      <w:r>
        <w:rPr>
          <w:rFonts w:ascii="Calibri" w:hAnsi="Calibri" w:cs="Calibri"/>
        </w:rPr>
        <w:tab/>
        <w:t>Jorge Emanoel Cardoso Rocha</w:t>
      </w:r>
      <w:r>
        <w:rPr>
          <w:rFonts w:ascii="Calibri" w:hAnsi="Calibri" w:cs="Calibri"/>
        </w:rPr>
        <w:tab/>
        <w:t>Mariangela Ferraz Mussolini</w:t>
      </w:r>
    </w:p>
    <w:p w14:paraId="60C8B01B" w14:textId="77777777" w:rsidR="00B50C51" w:rsidRDefault="00B50C51" w:rsidP="00B50C5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1754481B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 xml:space="preserve"> </w:t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F16A3" w14:textId="77777777" w:rsidR="00551340" w:rsidRDefault="00551340">
      <w:r>
        <w:separator/>
      </w:r>
    </w:p>
  </w:endnote>
  <w:endnote w:type="continuationSeparator" w:id="0">
    <w:p w14:paraId="788805FD" w14:textId="77777777" w:rsidR="00551340" w:rsidRDefault="0055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E2FC1" w14:textId="77777777" w:rsidR="00551340" w:rsidRDefault="00551340">
      <w:r>
        <w:separator/>
      </w:r>
    </w:p>
  </w:footnote>
  <w:footnote w:type="continuationSeparator" w:id="0">
    <w:p w14:paraId="4E4858A6" w14:textId="77777777" w:rsidR="00551340" w:rsidRDefault="00551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2EC8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40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216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EADAE-B9C4-4A24-9ED9-D977B2218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25</TotalTime>
  <Pages>2</Pages>
  <Words>560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Usuário</cp:lastModifiedBy>
  <cp:revision>22</cp:revision>
  <cp:lastPrinted>2022-10-10T14:22:00Z</cp:lastPrinted>
  <dcterms:created xsi:type="dcterms:W3CDTF">2023-02-02T20:03:00Z</dcterms:created>
  <dcterms:modified xsi:type="dcterms:W3CDTF">2023-12-08T18:07:00Z</dcterms:modified>
</cp:coreProperties>
</file>