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9B" w:rsidRPr="006E4AF7" w:rsidRDefault="00B0469B" w:rsidP="00DC4949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:rsidR="00B0469B" w:rsidRPr="006E4AF7" w:rsidRDefault="005362D2" w:rsidP="007404B2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</w:rPr>
      </w:pPr>
      <w:r w:rsidRPr="006E4AF7">
        <w:rPr>
          <w:rFonts w:ascii="Arial" w:eastAsia="Calibri" w:hAnsi="Arial" w:cs="Arial"/>
          <w:b/>
          <w:bCs/>
          <w:sz w:val="32"/>
          <w:szCs w:val="32"/>
          <w:u w:val="single"/>
        </w:rPr>
        <w:t xml:space="preserve">PROJETO DE LEI N. </w:t>
      </w:r>
      <w:r w:rsidR="00270A9C">
        <w:rPr>
          <w:rFonts w:ascii="Arial" w:eastAsia="Calibri" w:hAnsi="Arial" w:cs="Arial"/>
          <w:b/>
          <w:bCs/>
          <w:sz w:val="32"/>
          <w:szCs w:val="32"/>
          <w:u w:val="single"/>
        </w:rPr>
        <w:t>12</w:t>
      </w:r>
      <w:bookmarkStart w:id="0" w:name="_GoBack"/>
      <w:bookmarkEnd w:id="0"/>
      <w:r w:rsidRPr="006E4AF7">
        <w:rPr>
          <w:rFonts w:ascii="Arial" w:eastAsia="Calibri" w:hAnsi="Arial" w:cs="Arial"/>
          <w:b/>
          <w:bCs/>
          <w:sz w:val="32"/>
          <w:szCs w:val="32"/>
          <w:u w:val="single"/>
        </w:rPr>
        <w:t>/2021</w:t>
      </w:r>
    </w:p>
    <w:p w:rsidR="00B0469B" w:rsidRPr="006E4AF7" w:rsidRDefault="00B0469B" w:rsidP="00DC4949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 xml:space="preserve">Dispõe sobre a obrigatoriedade da divulgação no site oficial da Prefeitura do Município de 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Bebedouro</w:t>
      </w:r>
      <w:r w:rsidRPr="006E4AF7">
        <w:rPr>
          <w:rFonts w:ascii="Arial" w:hAnsi="Arial" w:cs="Arial"/>
          <w:b/>
          <w:bCs/>
          <w:sz w:val="24"/>
          <w:szCs w:val="24"/>
        </w:rPr>
        <w:t xml:space="preserve"> de informações sobre obras públicas em andamento e paralisadas, valor estimado para as obras, os motivos da paralisação, o período de interrupção e a nova data prevista para término</w:t>
      </w:r>
      <w:r w:rsidR="00757BF0">
        <w:rPr>
          <w:rFonts w:ascii="Arial" w:hAnsi="Arial" w:cs="Arial"/>
          <w:b/>
          <w:bCs/>
          <w:sz w:val="24"/>
          <w:szCs w:val="24"/>
        </w:rPr>
        <w:t xml:space="preserve"> da obra e dá outras disposições</w:t>
      </w:r>
      <w:r w:rsidRPr="006E4AF7">
        <w:rPr>
          <w:rFonts w:ascii="Arial" w:hAnsi="Arial" w:cs="Arial"/>
          <w:b/>
          <w:bCs/>
          <w:sz w:val="24"/>
          <w:szCs w:val="24"/>
        </w:rPr>
        <w:t>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469B" w:rsidRPr="006E4AF7" w:rsidRDefault="005362D2" w:rsidP="00DC4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E4AF7">
        <w:rPr>
          <w:rFonts w:ascii="Arial" w:eastAsia="Calibri" w:hAnsi="Arial" w:cs="Arial"/>
          <w:sz w:val="24"/>
          <w:szCs w:val="24"/>
        </w:rPr>
        <w:t xml:space="preserve">A </w:t>
      </w:r>
      <w:r w:rsidRPr="006E4AF7">
        <w:rPr>
          <w:rFonts w:ascii="Arial" w:eastAsia="Calibri" w:hAnsi="Arial" w:cs="Arial"/>
          <w:b/>
          <w:sz w:val="24"/>
          <w:szCs w:val="24"/>
        </w:rPr>
        <w:t xml:space="preserve">CÂMARA MUNICIPAL DE BEBEDOURO/ESTADO </w:t>
      </w:r>
      <w:r w:rsidRPr="006E4AF7">
        <w:rPr>
          <w:rFonts w:ascii="Arial" w:eastAsia="Calibri" w:hAnsi="Arial" w:cs="Arial"/>
          <w:b/>
          <w:sz w:val="24"/>
          <w:szCs w:val="24"/>
        </w:rPr>
        <w:t>DE SÃO PAULO</w:t>
      </w:r>
      <w:r w:rsidRPr="006E4AF7">
        <w:rPr>
          <w:rFonts w:ascii="Arial" w:eastAsia="Calibri" w:hAnsi="Arial" w:cs="Arial"/>
          <w:sz w:val="24"/>
          <w:szCs w:val="24"/>
        </w:rPr>
        <w:t>, usando de suas atribuições legais, regimentais e constitucionais, faz saber que aprova a seguinte lei, de autoria da vereadora Ivanete Cristina Xavier: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 xml:space="preserve"> Art. 1°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.</w:t>
      </w:r>
      <w:r w:rsidRPr="006E4AF7">
        <w:rPr>
          <w:rFonts w:ascii="Arial" w:hAnsi="Arial" w:cs="Arial"/>
          <w:sz w:val="24"/>
          <w:szCs w:val="24"/>
        </w:rPr>
        <w:t xml:space="preserve"> Obriga a divulgação </w:t>
      </w:r>
      <w:r w:rsidR="00DC4949" w:rsidRPr="006E4AF7">
        <w:rPr>
          <w:rFonts w:ascii="Arial" w:hAnsi="Arial" w:cs="Arial"/>
          <w:color w:val="000000"/>
          <w:sz w:val="24"/>
          <w:szCs w:val="24"/>
        </w:rPr>
        <w:t>no site oficial do Município de Bebedouro, em página específica e com acesso facilitado e irrestrito na capa do site da Prefeitura Municipal e no Portal de Transparência</w:t>
      </w:r>
      <w:r w:rsidRPr="006E4AF7">
        <w:rPr>
          <w:rFonts w:ascii="Arial" w:hAnsi="Arial" w:cs="Arial"/>
          <w:sz w:val="24"/>
          <w:szCs w:val="24"/>
        </w:rPr>
        <w:t xml:space="preserve"> de informações acerca das obras públicas municipais em andamento e paralisadas.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§ 1°. Deverá ser informado o valor estimado da obra, a data de i</w:t>
      </w:r>
      <w:r w:rsidRPr="006E4AF7">
        <w:rPr>
          <w:rFonts w:ascii="Arial" w:hAnsi="Arial" w:cs="Arial"/>
          <w:sz w:val="24"/>
          <w:szCs w:val="24"/>
        </w:rPr>
        <w:t xml:space="preserve">nício e </w:t>
      </w:r>
      <w:r w:rsidR="009F426C">
        <w:rPr>
          <w:rFonts w:ascii="Arial" w:hAnsi="Arial" w:cs="Arial"/>
          <w:sz w:val="24"/>
          <w:szCs w:val="24"/>
        </w:rPr>
        <w:t xml:space="preserve">a </w:t>
      </w:r>
      <w:r w:rsidRPr="006E4AF7">
        <w:rPr>
          <w:rFonts w:ascii="Arial" w:hAnsi="Arial" w:cs="Arial"/>
          <w:sz w:val="24"/>
          <w:szCs w:val="24"/>
        </w:rPr>
        <w:t>data de término da obra;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§2° Informar o cronograma de pagamento de acordo com o edital de contratação;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§3° Considerar-se-á obra paralisada, para efeitos desta lei, a obra com atividades interrompidas por mais de 60 (sessenta) dias;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§3° Informa</w:t>
      </w:r>
      <w:r w:rsidRPr="006E4AF7">
        <w:rPr>
          <w:rFonts w:ascii="Arial" w:hAnsi="Arial" w:cs="Arial"/>
          <w:sz w:val="24"/>
          <w:szCs w:val="24"/>
        </w:rPr>
        <w:t xml:space="preserve">r a nova data de retorno da obra paralisada ou a impossibilidade de retorno das obras pela mesma empresa; 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§4° Caso não seja possível o retorno das obras pela empresa inicialmente contratada, seja informada a viabilidade de contratação das demais empresas</w:t>
      </w:r>
      <w:r w:rsidRPr="006E4AF7">
        <w:rPr>
          <w:rFonts w:ascii="Arial" w:hAnsi="Arial" w:cs="Arial"/>
          <w:sz w:val="24"/>
          <w:szCs w:val="24"/>
        </w:rPr>
        <w:t xml:space="preserve"> que participaram do processo licitatório ou a realização de nova licitação para este fim</w:t>
      </w:r>
      <w:r w:rsidR="009F426C">
        <w:rPr>
          <w:rFonts w:ascii="Arial" w:hAnsi="Arial" w:cs="Arial"/>
          <w:sz w:val="24"/>
          <w:szCs w:val="24"/>
        </w:rPr>
        <w:t>;</w:t>
      </w:r>
    </w:p>
    <w:p w:rsidR="009F426C" w:rsidRDefault="009F426C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26C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§5° Disponibilizar por meio de um link de acesso o local onde a obra está sendo realizada.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>Art. 2°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.</w:t>
      </w:r>
      <w:r w:rsidRPr="006E4AF7">
        <w:rPr>
          <w:rFonts w:ascii="Arial" w:hAnsi="Arial" w:cs="Arial"/>
          <w:sz w:val="24"/>
          <w:szCs w:val="24"/>
        </w:rPr>
        <w:t xml:space="preserve"> O site oficial da Prefeitura Municipal de Bebedouro utilizado para transmitir as informações, contidas no art. 1° desta Lei, deverá conter também os dados do órgão público ou concessionária responsável pela obra.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>Art. 3°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.</w:t>
      </w:r>
      <w:r w:rsidRPr="006E4AF7">
        <w:rPr>
          <w:rFonts w:ascii="Arial" w:hAnsi="Arial" w:cs="Arial"/>
          <w:sz w:val="24"/>
          <w:szCs w:val="24"/>
        </w:rPr>
        <w:t xml:space="preserve"> Ultrapassado o prazo de paralisa</w:t>
      </w:r>
      <w:r w:rsidRPr="006E4AF7">
        <w:rPr>
          <w:rFonts w:ascii="Arial" w:hAnsi="Arial" w:cs="Arial"/>
          <w:sz w:val="24"/>
          <w:szCs w:val="24"/>
        </w:rPr>
        <w:t>ção de que trata o art. 1°, §3°, desta Lei, o responsável pela obra deverá informar à Prefeitura Municipal de Bebedouro, no prazo máximo de 5 (cinco) dias úteis, o motivo da paralisação da obra.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lastRenderedPageBreak/>
        <w:t>Art. 4º</w:t>
      </w:r>
      <w:r w:rsidRPr="006E4AF7">
        <w:rPr>
          <w:rFonts w:ascii="Arial" w:hAnsi="Arial" w:cs="Arial"/>
          <w:sz w:val="24"/>
          <w:szCs w:val="24"/>
        </w:rPr>
        <w:t xml:space="preserve"> Para fins de publicidade, </w:t>
      </w:r>
      <w:r w:rsidR="0093197C">
        <w:rPr>
          <w:rFonts w:ascii="Arial" w:hAnsi="Arial" w:cs="Arial"/>
          <w:sz w:val="24"/>
          <w:szCs w:val="24"/>
        </w:rPr>
        <w:t xml:space="preserve">também </w:t>
      </w:r>
      <w:r w:rsidRPr="006E4AF7">
        <w:rPr>
          <w:rFonts w:ascii="Arial" w:hAnsi="Arial" w:cs="Arial"/>
          <w:sz w:val="24"/>
          <w:szCs w:val="24"/>
        </w:rPr>
        <w:t>deverá ser disponib</w:t>
      </w:r>
      <w:r w:rsidRPr="006E4AF7">
        <w:rPr>
          <w:rFonts w:ascii="Arial" w:hAnsi="Arial" w:cs="Arial"/>
          <w:sz w:val="24"/>
          <w:szCs w:val="24"/>
        </w:rPr>
        <w:t>ilizado para download ao público em geral uma cópia do contrato mantido entre a Prefeitura Municipal de Bebedouro e a empresa contratada.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>Art. 5º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.</w:t>
      </w:r>
      <w:r w:rsidRPr="006E4AF7">
        <w:rPr>
          <w:rFonts w:ascii="Arial" w:hAnsi="Arial" w:cs="Arial"/>
          <w:sz w:val="24"/>
          <w:szCs w:val="24"/>
        </w:rPr>
        <w:t xml:space="preserve"> Caso haja o rompimento do contrato, </w:t>
      </w:r>
      <w:r w:rsidR="00CF766B" w:rsidRPr="006E4AF7">
        <w:rPr>
          <w:rFonts w:ascii="Arial" w:hAnsi="Arial" w:cs="Arial"/>
          <w:sz w:val="24"/>
          <w:szCs w:val="24"/>
        </w:rPr>
        <w:t>se</w:t>
      </w:r>
      <w:r w:rsidRPr="006E4AF7">
        <w:rPr>
          <w:rFonts w:ascii="Arial" w:hAnsi="Arial" w:cs="Arial"/>
          <w:sz w:val="24"/>
          <w:szCs w:val="24"/>
        </w:rPr>
        <w:t xml:space="preserve"> ajuizada ação em desfavor da empresa contratada, </w:t>
      </w:r>
      <w:r w:rsidR="0093197C">
        <w:rPr>
          <w:rFonts w:ascii="Arial" w:hAnsi="Arial" w:cs="Arial"/>
          <w:sz w:val="24"/>
          <w:szCs w:val="24"/>
        </w:rPr>
        <w:t xml:space="preserve">também deverá </w:t>
      </w:r>
      <w:r w:rsidRPr="006E4AF7">
        <w:rPr>
          <w:rFonts w:ascii="Arial" w:hAnsi="Arial" w:cs="Arial"/>
          <w:sz w:val="24"/>
          <w:szCs w:val="24"/>
        </w:rPr>
        <w:t xml:space="preserve">disponibilizar </w:t>
      </w:r>
      <w:r w:rsidR="00CF766B" w:rsidRPr="006E4AF7">
        <w:rPr>
          <w:rFonts w:ascii="Arial" w:hAnsi="Arial" w:cs="Arial"/>
          <w:sz w:val="24"/>
          <w:szCs w:val="24"/>
        </w:rPr>
        <w:t xml:space="preserve">ao público em geral </w:t>
      </w:r>
      <w:r w:rsidRPr="006E4AF7">
        <w:rPr>
          <w:rFonts w:ascii="Arial" w:hAnsi="Arial" w:cs="Arial"/>
          <w:sz w:val="24"/>
          <w:szCs w:val="24"/>
        </w:rPr>
        <w:t xml:space="preserve">o número do processo </w:t>
      </w:r>
      <w:r w:rsidR="00CF766B" w:rsidRPr="006E4AF7">
        <w:rPr>
          <w:rFonts w:ascii="Arial" w:hAnsi="Arial" w:cs="Arial"/>
          <w:sz w:val="24"/>
          <w:szCs w:val="24"/>
        </w:rPr>
        <w:t>para consulta e o Tribunal onde tramita a ação</w:t>
      </w:r>
      <w:r w:rsidR="00DC4949" w:rsidRPr="006E4AF7">
        <w:rPr>
          <w:rFonts w:ascii="Arial" w:hAnsi="Arial" w:cs="Arial"/>
          <w:sz w:val="24"/>
          <w:szCs w:val="24"/>
        </w:rPr>
        <w:t>, bem como</w:t>
      </w:r>
      <w:r w:rsidR="00ED6BC3" w:rsidRPr="006E4AF7">
        <w:rPr>
          <w:rFonts w:ascii="Arial" w:hAnsi="Arial" w:cs="Arial"/>
          <w:sz w:val="24"/>
          <w:szCs w:val="24"/>
        </w:rPr>
        <w:t xml:space="preserve"> disponibilizado para download ao público em geral</w:t>
      </w:r>
      <w:r w:rsidR="00DC4949" w:rsidRPr="006E4AF7">
        <w:rPr>
          <w:rFonts w:ascii="Arial" w:hAnsi="Arial" w:cs="Arial"/>
          <w:sz w:val="24"/>
          <w:szCs w:val="24"/>
        </w:rPr>
        <w:t xml:space="preserve"> uma cópia da petição inicial no site oficial</w:t>
      </w:r>
      <w:r w:rsidR="00CF766B" w:rsidRPr="006E4AF7">
        <w:rPr>
          <w:rFonts w:ascii="Arial" w:hAnsi="Arial" w:cs="Arial"/>
          <w:sz w:val="24"/>
          <w:szCs w:val="24"/>
        </w:rPr>
        <w:t>.</w:t>
      </w:r>
    </w:p>
    <w:p w:rsidR="009F426C" w:rsidRDefault="009F426C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26C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>Art. 6º</w:t>
      </w:r>
      <w:r w:rsidRPr="006E4A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Apresente Lei também deverá ser </w:t>
      </w:r>
      <w:r>
        <w:rPr>
          <w:rFonts w:ascii="Arial" w:hAnsi="Arial" w:cs="Arial"/>
          <w:sz w:val="24"/>
          <w:szCs w:val="24"/>
        </w:rPr>
        <w:t>cumprida em sua integralidade por todas as Secretarias e Autarquias do Município de Bebedouro.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F426C">
        <w:rPr>
          <w:rFonts w:ascii="Arial" w:hAnsi="Arial" w:cs="Arial"/>
          <w:b/>
          <w:bCs/>
          <w:sz w:val="24"/>
          <w:szCs w:val="24"/>
        </w:rPr>
        <w:t>7</w:t>
      </w:r>
      <w:r w:rsidRPr="006E4AF7">
        <w:rPr>
          <w:rFonts w:ascii="Arial" w:hAnsi="Arial" w:cs="Arial"/>
          <w:b/>
          <w:bCs/>
          <w:sz w:val="24"/>
          <w:szCs w:val="24"/>
        </w:rPr>
        <w:t>º</w:t>
      </w:r>
      <w:r w:rsidRPr="006E4AF7">
        <w:rPr>
          <w:rFonts w:ascii="Arial" w:hAnsi="Arial" w:cs="Arial"/>
          <w:sz w:val="24"/>
          <w:szCs w:val="24"/>
        </w:rPr>
        <w:t>. As despesas decorrentes da publicação e execução da presente lei serão suportadas por dotações próprias consignadas no orçamento, suplementadas, se nec</w:t>
      </w:r>
      <w:r w:rsidRPr="006E4AF7">
        <w:rPr>
          <w:rFonts w:ascii="Arial" w:hAnsi="Arial" w:cs="Arial"/>
          <w:sz w:val="24"/>
          <w:szCs w:val="24"/>
        </w:rPr>
        <w:t>essário</w:t>
      </w:r>
    </w:p>
    <w:p w:rsidR="00DC4949" w:rsidRPr="006E4AF7" w:rsidRDefault="00DC4949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3C6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F426C">
        <w:rPr>
          <w:rFonts w:ascii="Arial" w:hAnsi="Arial" w:cs="Arial"/>
          <w:b/>
          <w:bCs/>
          <w:sz w:val="24"/>
          <w:szCs w:val="24"/>
        </w:rPr>
        <w:t>8</w:t>
      </w:r>
      <w:r w:rsidRPr="006E4AF7">
        <w:rPr>
          <w:rFonts w:ascii="Arial" w:hAnsi="Arial" w:cs="Arial"/>
          <w:b/>
          <w:bCs/>
          <w:sz w:val="24"/>
          <w:szCs w:val="24"/>
        </w:rPr>
        <w:t>º</w:t>
      </w:r>
      <w:r w:rsidR="00CF766B" w:rsidRPr="006E4AF7">
        <w:rPr>
          <w:rFonts w:ascii="Arial" w:hAnsi="Arial" w:cs="Arial"/>
          <w:b/>
          <w:bCs/>
          <w:sz w:val="24"/>
          <w:szCs w:val="24"/>
        </w:rPr>
        <w:t>.</w:t>
      </w:r>
      <w:r w:rsidRPr="006E4AF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ED6BC3" w:rsidRPr="006E4AF7" w:rsidRDefault="00ED6BC3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69B" w:rsidRPr="006E4AF7" w:rsidRDefault="00B0469B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469B" w:rsidRPr="006E4AF7" w:rsidRDefault="005362D2" w:rsidP="00DC49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4AF7">
        <w:rPr>
          <w:rFonts w:ascii="Arial" w:hAnsi="Arial" w:cs="Arial"/>
          <w:b/>
          <w:sz w:val="24"/>
          <w:szCs w:val="24"/>
        </w:rPr>
        <w:t>Ivanete Cristina Xavier</w:t>
      </w:r>
    </w:p>
    <w:p w:rsidR="00B0469B" w:rsidRPr="006E4AF7" w:rsidRDefault="005362D2" w:rsidP="00DC49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4AF7">
        <w:rPr>
          <w:rFonts w:ascii="Arial" w:hAnsi="Arial" w:cs="Arial"/>
          <w:b/>
          <w:sz w:val="24"/>
          <w:szCs w:val="24"/>
        </w:rPr>
        <w:t>VEREADORA PSDB</w:t>
      </w:r>
    </w:p>
    <w:p w:rsidR="00B0469B" w:rsidRPr="006E4AF7" w:rsidRDefault="005362D2" w:rsidP="00DC494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E4AF7"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:rsidR="00B0469B" w:rsidRPr="006E4AF7" w:rsidRDefault="00B0469B" w:rsidP="00DC494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0469B" w:rsidRPr="006E4AF7" w:rsidRDefault="005362D2" w:rsidP="00DC494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E4AF7">
        <w:rPr>
          <w:rFonts w:ascii="Arial" w:eastAsia="Calibri" w:hAnsi="Arial" w:cs="Arial"/>
          <w:b/>
          <w:bCs/>
          <w:sz w:val="24"/>
          <w:szCs w:val="24"/>
        </w:rPr>
        <w:t>JUSTIFICATIVA</w:t>
      </w:r>
    </w:p>
    <w:p w:rsidR="00B0469B" w:rsidRPr="006E4AF7" w:rsidRDefault="00B0469B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09A0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4AF7">
        <w:rPr>
          <w:rFonts w:ascii="Arial" w:hAnsi="Arial" w:cs="Arial"/>
          <w:sz w:val="24"/>
          <w:szCs w:val="24"/>
        </w:rPr>
        <w:t xml:space="preserve">O projeto prevê que 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a publicidade e a transparência são princípios que devem reger a atuação da Administração Pública como um 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todo, consoante determinam a Constituição Federal (art. 37, caput), a Constituição Estadual (art. 111)</w:t>
      </w:r>
      <w:r w:rsidR="00A50AF8"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 e a Lei Orgânica do Município (art. 7°)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>Importante observar também que devido à formação</w:t>
      </w:r>
      <w:r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jurídica do Estado brasileiro, qual seja a de um Estado 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Democrático de Direito</w:t>
      </w:r>
      <w:r w:rsidR="00216A7F" w:rsidRPr="006E4A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 que adota a forma republicana, o pleno acesso dos cidadãos às informações relativas à coisa pública, bem como o direito destes de fiscalizar os negócios públicos, revestem-se da qualidade de direito fundamental.</w:t>
      </w:r>
      <w:r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Neste contexto, a 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Constituição Federal cuidou de estabelecer no capítulo destinado à disciplina da Administração Pública em seu art. 37, § 1º que: 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"A publicidade dos atos, programas, obras, serviços e campanhas dos órgãos públicos deverá ter caráter educativo, informativo 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ou de orientação social, dela não podendo constar nomes, símbolos ou imagem que caracterizem promoção pessoal de autoridade ou servidores públicos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." 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>Em termos praticamente iguais, dispôs a Constituição Estadual, em seu art. 115, § 1º.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>Verifica-se, então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, que é imperiosa a divulgação pela Administração das informações de interesse público em cumprimento ao princípio da publicidade, o qual não pode ser compreendido apenas no aspecto formal de mera publicação na imprensa oficial dos atos, contratos, leis, e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tc.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Ainda a respaldar a propositura, tem-se o art. 5º, XXXIII da Carta Magna, </w:t>
      </w:r>
      <w:r w:rsidR="009F426C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in 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verbis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16A7F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"Art. 5°......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XXXIII</w:t>
      </w:r>
      <w:r w:rsidR="00216A7F" w:rsidRPr="006E4AF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-</w:t>
      </w:r>
      <w:r w:rsidR="00216A7F" w:rsidRPr="006E4AF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todos têm direito a receber dos órgãos públicos informações de seu interesse particular, ou de interesse coletivo ou geral, que serão 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prestadas no prazo da lei, sob pena de responsabilidade, ressalvadas aquelas cujo sigilo seja imprescindível à segurança da sociedade e do Estado;"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9F426C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>Vale destacar, a propósito do dispositivo constitucional acima mencionado, que foi o mesmo regulamentado pe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la Lei Federal nº 12.527/11, conhecida como "</w:t>
      </w:r>
      <w:r w:rsidRPr="00ED1D67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Lei de Acesso à Informação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>", devendo ser citadas as seguintes previsões constantes da referida lei pela pertinência que guardam com o pretendido pela propositura em análise:</w:t>
      </w:r>
      <w:r w:rsidR="00236658"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F426C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D1D67">
        <w:rPr>
          <w:rFonts w:ascii="Arial" w:eastAsia="Times New Roman" w:hAnsi="Arial" w:cs="Arial"/>
          <w:sz w:val="24"/>
          <w:szCs w:val="24"/>
          <w:lang w:eastAsia="pt-BR"/>
        </w:rPr>
        <w:t>1) de acordo com o art. 2º, os proce</w:t>
      </w:r>
      <w:r w:rsidRPr="00ED1D67">
        <w:rPr>
          <w:rFonts w:ascii="Arial" w:eastAsia="Times New Roman" w:hAnsi="Arial" w:cs="Arial"/>
          <w:sz w:val="24"/>
          <w:szCs w:val="24"/>
          <w:lang w:eastAsia="pt-BR"/>
        </w:rPr>
        <w:t xml:space="preserve">dimentos para assegurar o direito de acesso à informação devem se pautar, </w:t>
      </w:r>
      <w:r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dentre outras, pelas diretrizes de divulgação de informações de interesse público, independentemente de solicitações (inciso II) e da utilização de meios de comunicação viabilizados </w:t>
      </w:r>
      <w:r w:rsidRPr="006E4AF7">
        <w:rPr>
          <w:rFonts w:ascii="Arial" w:eastAsia="Times New Roman" w:hAnsi="Arial" w:cs="Arial"/>
          <w:sz w:val="24"/>
          <w:szCs w:val="24"/>
          <w:lang w:eastAsia="pt-BR"/>
        </w:rPr>
        <w:t xml:space="preserve">pela tecnologia da informação (inciso III); e, </w:t>
      </w:r>
    </w:p>
    <w:p w:rsidR="001509A0" w:rsidRPr="006E4AF7" w:rsidRDefault="005362D2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4AF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2) de acordo com o art. 7º, inciso VI, o acesso à informação compreende, dentre outros, o direito de obter informação pertinente à administração do patrimônio público, utilização de recursos públicos, licitaç</w:t>
      </w:r>
      <w:r w:rsidRPr="006E4AF7">
        <w:rPr>
          <w:rFonts w:ascii="Arial" w:eastAsia="Times New Roman" w:hAnsi="Arial" w:cs="Arial"/>
          <w:sz w:val="24"/>
          <w:szCs w:val="24"/>
          <w:lang w:eastAsia="pt-BR"/>
        </w:rPr>
        <w:t>ão e contratos administrativos.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Ainda a respeito da transparência na administração pública, deve ser destacado</w:t>
      </w:r>
      <w:r w:rsidR="00305BDF" w:rsidRPr="006E4AF7">
        <w:rPr>
          <w:rFonts w:ascii="Arial" w:hAnsi="Arial" w:cs="Arial"/>
          <w:sz w:val="24"/>
          <w:szCs w:val="24"/>
        </w:rPr>
        <w:t>: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 xml:space="preserve">“Art. 1º A Lei Orgânica do Município de Bebedouro passa a vigorar com a seguinte redação: 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 xml:space="preserve">PREÂMBULO </w:t>
      </w:r>
    </w:p>
    <w:p w:rsidR="00216A7F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O povo do município de Bebedouro, por intermédio de seus representantes na Câmara Municipal, no exercício dos poderes conferidos pela Constituição Federal, com o propósito de assegurar o exercício dos direitos sociais e individuais, a liberdade, a seguranç</w:t>
      </w:r>
      <w:r w:rsidRPr="006E4AF7">
        <w:rPr>
          <w:rFonts w:ascii="Arial" w:hAnsi="Arial" w:cs="Arial"/>
          <w:i/>
          <w:iCs/>
          <w:sz w:val="24"/>
          <w:szCs w:val="24"/>
        </w:rPr>
        <w:t xml:space="preserve">a, o bem-estar, o desenvolvimento, a igualdade e a justiça como valores supremos da sociedade fraterna, pluralista e sem preconceito, fundada na harmonia social, aprova e promulga, sob a proteção de Deus, a sua Lei Orgânica municipal. 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(...)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Art. 6º É asse</w:t>
      </w:r>
      <w:r w:rsidRPr="006E4AF7">
        <w:rPr>
          <w:rFonts w:ascii="Arial" w:hAnsi="Arial" w:cs="Arial"/>
          <w:i/>
          <w:iCs/>
          <w:sz w:val="24"/>
          <w:szCs w:val="24"/>
        </w:rPr>
        <w:t>gurada aos habitantes do município a prestação de todos os serviços públicos básicos, na circunscrição administrativa em que residem, sejam executados indireta ou diretamente pelo poder público municipal.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Art. 7º O município, através de seus órgãos de Pode</w:t>
      </w:r>
      <w:r w:rsidRPr="006E4AF7">
        <w:rPr>
          <w:rFonts w:ascii="Arial" w:hAnsi="Arial" w:cs="Arial"/>
          <w:i/>
          <w:iCs/>
          <w:sz w:val="24"/>
          <w:szCs w:val="24"/>
        </w:rPr>
        <w:t>r, garantirá o bem-estar e condições dignas de existência de sua população e será administrado com obediência aos princípios da legalidade, impessoalidade, moralidade, publicidade, eficiência, descentralização administrativa, participação popular nas decis</w:t>
      </w:r>
      <w:r w:rsidRPr="006E4AF7">
        <w:rPr>
          <w:rFonts w:ascii="Arial" w:hAnsi="Arial" w:cs="Arial"/>
          <w:i/>
          <w:iCs/>
          <w:sz w:val="24"/>
          <w:szCs w:val="24"/>
        </w:rPr>
        <w:t>ões e da supremacia do interesse público.”</w:t>
      </w:r>
    </w:p>
    <w:p w:rsidR="004452A1" w:rsidRPr="006E4AF7" w:rsidRDefault="004452A1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5BDF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>O Prof. Adilson Abreu Dallari em parecer publicado na revista RDP nº 98, intitulado "A divulgação das atividades da Administração Pública" com muita propriedade aborda o tema:</w:t>
      </w:r>
    </w:p>
    <w:p w:rsidR="00305BDF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"Ora, titular do interesse público é</w:t>
      </w:r>
      <w:r w:rsidRPr="006E4AF7">
        <w:rPr>
          <w:rFonts w:ascii="Arial" w:hAnsi="Arial" w:cs="Arial"/>
          <w:i/>
          <w:iCs/>
          <w:sz w:val="24"/>
          <w:szCs w:val="24"/>
        </w:rPr>
        <w:t xml:space="preserve"> o povo, o corpo social, a sociedade civil, em seu conjunto ou segmentada em entidades intermediárias (associações, sindicatos, etc.) e até mesmo representada por um único indivíduo, como no caso da Ação Popular. Por isso mesmo a coletividade tem o direito</w:t>
      </w:r>
      <w:r w:rsidRPr="006E4AF7">
        <w:rPr>
          <w:rFonts w:ascii="Arial" w:hAnsi="Arial" w:cs="Arial"/>
          <w:i/>
          <w:iCs/>
          <w:sz w:val="24"/>
          <w:szCs w:val="24"/>
        </w:rPr>
        <w:t xml:space="preserve"> elementar de saber o que se passa na Administração Pública, e esta tem o correspondente dever de ser permeável, transparente, acessível. </w:t>
      </w:r>
    </w:p>
    <w:p w:rsidR="00305BDF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Outro princípio de raiz constitucional desenvolvido pela doutrina é o ‘princípio participativo’ . [...]</w:t>
      </w:r>
    </w:p>
    <w:p w:rsidR="00305BDF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Ora, para pod</w:t>
      </w:r>
      <w:r w:rsidRPr="006E4AF7">
        <w:rPr>
          <w:rFonts w:ascii="Arial" w:hAnsi="Arial" w:cs="Arial"/>
          <w:i/>
          <w:iCs/>
          <w:sz w:val="24"/>
          <w:szCs w:val="24"/>
        </w:rPr>
        <w:t>er participar realmente dos atos de</w:t>
      </w:r>
      <w:r w:rsidR="00236658" w:rsidRPr="006E4AF7">
        <w:rPr>
          <w:rFonts w:ascii="Arial" w:hAnsi="Arial" w:cs="Arial"/>
          <w:i/>
          <w:iCs/>
          <w:sz w:val="24"/>
          <w:szCs w:val="24"/>
        </w:rPr>
        <w:t xml:space="preserve"> </w:t>
      </w:r>
      <w:r w:rsidRPr="006E4AF7">
        <w:rPr>
          <w:rFonts w:ascii="Arial" w:hAnsi="Arial" w:cs="Arial"/>
          <w:i/>
          <w:iCs/>
          <w:sz w:val="24"/>
          <w:szCs w:val="24"/>
        </w:rPr>
        <w:t xml:space="preserve">governo, o cidadão precisa ficar sabendo o que o governo está fazendo ou pretende fazer. [...] </w:t>
      </w:r>
    </w:p>
    <w:p w:rsidR="00236658" w:rsidRPr="006E4AF7" w:rsidRDefault="005362D2" w:rsidP="00DC4949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 xml:space="preserve">Portanto, a pluralidade de fontes de informação sobre a atuação pública é fundamental, para que possa haver críticas, </w:t>
      </w:r>
      <w:r w:rsidRPr="006E4AF7">
        <w:rPr>
          <w:rFonts w:ascii="Arial" w:hAnsi="Arial" w:cs="Arial"/>
          <w:i/>
          <w:iCs/>
          <w:sz w:val="24"/>
          <w:szCs w:val="24"/>
        </w:rPr>
        <w:t>possibilidade de defesa e, também, oportunidade de evidenciar os êxitos e as conquistas da sociedade e dos governos democráticos.</w:t>
      </w:r>
    </w:p>
    <w:p w:rsidR="00D01BB7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i/>
          <w:iCs/>
          <w:sz w:val="24"/>
          <w:szCs w:val="24"/>
        </w:rPr>
        <w:t>Não pode haver abuso na atividade informativa oficial, pois isso atentaria contra a probidade da Administração. Para evitar ab</w:t>
      </w:r>
      <w:r w:rsidRPr="006E4AF7">
        <w:rPr>
          <w:rFonts w:ascii="Arial" w:hAnsi="Arial" w:cs="Arial"/>
          <w:i/>
          <w:iCs/>
          <w:sz w:val="24"/>
          <w:szCs w:val="24"/>
        </w:rPr>
        <w:t xml:space="preserve">usos é que existem o controle político, exercido diretamente pelo Poder Legislativo, o controle econômico-financeiro exercido pelo Legislativo </w:t>
      </w:r>
      <w:r w:rsidR="00236658" w:rsidRPr="006E4AF7">
        <w:rPr>
          <w:rFonts w:ascii="Arial" w:hAnsi="Arial" w:cs="Arial"/>
          <w:i/>
          <w:iCs/>
          <w:sz w:val="24"/>
          <w:szCs w:val="24"/>
        </w:rPr>
        <w:t>e o controle jurisdicional, exercitado pelo Poder Judiciário [...]</w:t>
      </w:r>
      <w:r w:rsidR="00236658" w:rsidRPr="006E4AF7">
        <w:rPr>
          <w:rFonts w:ascii="Arial" w:hAnsi="Arial" w:cs="Arial"/>
          <w:sz w:val="24"/>
          <w:szCs w:val="24"/>
        </w:rPr>
        <w:t xml:space="preserve"> ." (grifamos)</w:t>
      </w:r>
    </w:p>
    <w:p w:rsidR="00305BDF" w:rsidRPr="006E4AF7" w:rsidRDefault="00305BDF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2A1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lastRenderedPageBreak/>
        <w:t>Ante o exposto, conto com a val</w:t>
      </w:r>
      <w:r w:rsidRPr="006E4AF7">
        <w:rPr>
          <w:rFonts w:ascii="Arial" w:hAnsi="Arial" w:cs="Arial"/>
          <w:sz w:val="24"/>
          <w:szCs w:val="24"/>
        </w:rPr>
        <w:t>iosa colaboração e o entendimento dos Senhores Vereadores e das Senhoras Vereadoras para a aprovação deste Projeto de Lei, tendo em vista a relevância, oportunidade e o interesse público da matéria.</w:t>
      </w:r>
    </w:p>
    <w:p w:rsidR="004452A1" w:rsidRPr="006E4AF7" w:rsidRDefault="004452A1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2A1" w:rsidRPr="006E4AF7" w:rsidRDefault="005362D2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AF7">
        <w:rPr>
          <w:rFonts w:ascii="Arial" w:hAnsi="Arial" w:cs="Arial"/>
          <w:sz w:val="24"/>
          <w:szCs w:val="24"/>
        </w:rPr>
        <w:t xml:space="preserve">Bebedouro, Capital Nacional da Laranja, 22 de fevereiro </w:t>
      </w:r>
      <w:r w:rsidRPr="006E4AF7">
        <w:rPr>
          <w:rFonts w:ascii="Arial" w:hAnsi="Arial" w:cs="Arial"/>
          <w:sz w:val="24"/>
          <w:szCs w:val="24"/>
        </w:rPr>
        <w:t>de 2021.</w:t>
      </w:r>
    </w:p>
    <w:p w:rsidR="004452A1" w:rsidRPr="006E4AF7" w:rsidRDefault="004452A1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2A1" w:rsidRPr="006E4AF7" w:rsidRDefault="004452A1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52A1" w:rsidRPr="006E4AF7" w:rsidRDefault="005362D2" w:rsidP="00DC4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AF7">
        <w:rPr>
          <w:rFonts w:ascii="Arial" w:hAnsi="Arial" w:cs="Arial"/>
          <w:b/>
          <w:sz w:val="24"/>
          <w:szCs w:val="24"/>
        </w:rPr>
        <w:t>Ivanete Cristina Xavier</w:t>
      </w:r>
    </w:p>
    <w:p w:rsidR="004452A1" w:rsidRPr="006E4AF7" w:rsidRDefault="005362D2" w:rsidP="00DC4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AF7">
        <w:rPr>
          <w:rFonts w:ascii="Arial" w:hAnsi="Arial" w:cs="Arial"/>
          <w:b/>
          <w:sz w:val="24"/>
          <w:szCs w:val="24"/>
        </w:rPr>
        <w:t>VEREADORA PSDB</w:t>
      </w:r>
    </w:p>
    <w:p w:rsidR="004452A1" w:rsidRPr="006E4AF7" w:rsidRDefault="004452A1" w:rsidP="00DC49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452A1" w:rsidRPr="006E4AF7" w:rsidSect="0093197C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D2" w:rsidRDefault="005362D2">
      <w:pPr>
        <w:spacing w:after="0" w:line="240" w:lineRule="auto"/>
      </w:pPr>
      <w:r>
        <w:separator/>
      </w:r>
    </w:p>
  </w:endnote>
  <w:endnote w:type="continuationSeparator" w:id="0">
    <w:p w:rsidR="005362D2" w:rsidRDefault="0053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9B" w:rsidRDefault="005362D2" w:rsidP="00B0469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B0469B" w:rsidRPr="00B0469B" w:rsidRDefault="00B0469B" w:rsidP="00B0469B">
    <w:pPr>
      <w:pStyle w:val="Rodap"/>
      <w:jc w:val="center"/>
      <w:rPr>
        <w:rFonts w:ascii="Arial" w:hAnsi="Arial" w:cs="Arial"/>
        <w:b/>
        <w:bCs/>
        <w:spacing w:val="6"/>
        <w:szCs w:val="20"/>
      </w:rPr>
    </w:pPr>
  </w:p>
  <w:p w:rsidR="00B0469B" w:rsidRPr="00B0469B" w:rsidRDefault="005362D2" w:rsidP="00B0469B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B0469B">
      <w:rPr>
        <w:rFonts w:ascii="Arial" w:hAnsi="Arial" w:cs="Arial"/>
        <w:b/>
        <w:bCs/>
        <w:spacing w:val="6"/>
        <w:sz w:val="20"/>
        <w:szCs w:val="20"/>
      </w:rPr>
      <w:t xml:space="preserve">RUA LUCAS EVANGELISTA, </w:t>
    </w:r>
    <w:r w:rsidRPr="00B0469B">
      <w:rPr>
        <w:rFonts w:ascii="Arial" w:hAnsi="Arial" w:cs="Arial"/>
        <w:b/>
        <w:bCs/>
        <w:spacing w:val="6"/>
        <w:sz w:val="20"/>
        <w:szCs w:val="20"/>
      </w:rPr>
      <w:t>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D2" w:rsidRDefault="005362D2">
      <w:pPr>
        <w:spacing w:after="0" w:line="240" w:lineRule="auto"/>
      </w:pPr>
      <w:r>
        <w:separator/>
      </w:r>
    </w:p>
  </w:footnote>
  <w:footnote w:type="continuationSeparator" w:id="0">
    <w:p w:rsidR="005362D2" w:rsidRDefault="0053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9B" w:rsidRDefault="005362D2" w:rsidP="00B0469B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69B" w:rsidRDefault="005362D2" w:rsidP="00B0469B">
                          <w:r>
                            <w:rPr>
                              <w:noProof/>
                              <w:sz w:val="20"/>
                              <w:szCs w:val="20"/>
                              <w:lang w:eastAsia="pt-BR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88204436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585833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B0469B" w:rsidP="00B0469B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981870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B0469B" w:rsidRDefault="00B0469B" w:rsidP="00B0469B">
    <w:pPr>
      <w:pStyle w:val="Cabealho"/>
      <w:ind w:left="1620"/>
      <w:jc w:val="center"/>
      <w:rPr>
        <w:rFonts w:ascii="Arial" w:hAnsi="Arial" w:cs="Arial"/>
        <w:sz w:val="8"/>
      </w:rPr>
    </w:pPr>
  </w:p>
  <w:p w:rsidR="00B0469B" w:rsidRDefault="005362D2" w:rsidP="00B0469B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0469B" w:rsidRDefault="005362D2" w:rsidP="00B0469B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B0469B" w:rsidRDefault="00B04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C6"/>
    <w:rsid w:val="001509A0"/>
    <w:rsid w:val="00216A7F"/>
    <w:rsid w:val="00236658"/>
    <w:rsid w:val="00270A9C"/>
    <w:rsid w:val="00305BDF"/>
    <w:rsid w:val="004452A1"/>
    <w:rsid w:val="005362D2"/>
    <w:rsid w:val="006E4AF7"/>
    <w:rsid w:val="007404B2"/>
    <w:rsid w:val="00757BF0"/>
    <w:rsid w:val="007A73C6"/>
    <w:rsid w:val="008D18B3"/>
    <w:rsid w:val="0093197C"/>
    <w:rsid w:val="009869CF"/>
    <w:rsid w:val="009F426C"/>
    <w:rsid w:val="00A50AF8"/>
    <w:rsid w:val="00B0469B"/>
    <w:rsid w:val="00CF766B"/>
    <w:rsid w:val="00D01BB7"/>
    <w:rsid w:val="00DC4949"/>
    <w:rsid w:val="00ED1D67"/>
    <w:rsid w:val="00E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6529-DFCF-45F1-BBF8-176386C3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4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69B"/>
  </w:style>
  <w:style w:type="paragraph" w:styleId="Rodap">
    <w:name w:val="footer"/>
    <w:basedOn w:val="Normal"/>
    <w:link w:val="RodapChar"/>
    <w:unhideWhenUsed/>
    <w:rsid w:val="00B04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0469B"/>
  </w:style>
  <w:style w:type="paragraph" w:styleId="Textodebalo">
    <w:name w:val="Balloon Text"/>
    <w:basedOn w:val="Normal"/>
    <w:link w:val="TextodebaloChar"/>
    <w:uiPriority w:val="99"/>
    <w:semiHidden/>
    <w:unhideWhenUsed/>
    <w:rsid w:val="0093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1366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jorge</cp:lastModifiedBy>
  <cp:revision>15</cp:revision>
  <cp:lastPrinted>2021-02-22T15:38:00Z</cp:lastPrinted>
  <dcterms:created xsi:type="dcterms:W3CDTF">2021-02-22T14:44:00Z</dcterms:created>
  <dcterms:modified xsi:type="dcterms:W3CDTF">2021-02-24T19:31:00Z</dcterms:modified>
</cp:coreProperties>
</file>