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0726F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b/>
          <w:bCs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b/>
          <w:bCs/>
          <w:color w:val="001D35"/>
          <w:u w:color="001D35"/>
          <w:lang w:val="pt-BR"/>
        </w:rPr>
        <w:t>RESPOSTA AO OFÍCIO – EXPEDIENTE OEV/ICX/03/2025 – CPI</w:t>
      </w:r>
    </w:p>
    <w:p w14:paraId="73A2B8D4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b/>
          <w:bCs/>
          <w:color w:val="001D35"/>
          <w:u w:color="001D35"/>
          <w:lang w:val="pt-BR"/>
        </w:rPr>
      </w:pPr>
    </w:p>
    <w:p w14:paraId="4499992C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right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 xml:space="preserve">Bebedouro, Capital Nacional da Laranja, 12 de </w:t>
      </w:r>
      <w:proofErr w:type="gramStart"/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Setembro</w:t>
      </w:r>
      <w:proofErr w:type="gramEnd"/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 xml:space="preserve"> de 2025</w:t>
      </w:r>
    </w:p>
    <w:p w14:paraId="53960613" w14:textId="77777777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right"/>
        <w:rPr>
          <w:rFonts w:ascii="Times New Roman" w:hAnsi="Times New Roman" w:cs="Times New Roman"/>
          <w:color w:val="001D35"/>
          <w:u w:color="001D35"/>
          <w:lang w:val="pt-BR"/>
        </w:rPr>
      </w:pPr>
    </w:p>
    <w:p w14:paraId="3D73DF9E" w14:textId="77777777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Senhora Vereadora,</w:t>
      </w:r>
    </w:p>
    <w:p w14:paraId="21568CA3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Cumpre, inicialmente, esclarecer que esta Presidência pauta sua atuação pela legalidade, pela transparência e pela estrita observância do Regimento Interno desta Casa Legislativa. Todas as deliberações e encaminhamentos da Comissão Parlamentar de Inquérito vêm sendo realizados em conformidade com os princípios da publicidade, da legalidade e da colegialidade.</w:t>
      </w:r>
    </w:p>
    <w:p w14:paraId="105E13B2" w14:textId="77777777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14:paraId="04265C46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Entretanto, importa registrar que Vossa Excelência tem insistido em apresentar requerimentos e solicitações por meio de tratativas informais, em contrariedade ao que restou deliberado em reunião desta Comissão, ocasião em que se firmou o entendimento de que todos os membros deveriam ter ciência prévia e formal dos requerimentos, a fim de resguardar a lisura, a imparcialidade e a transparência dos trabalhos.</w:t>
      </w:r>
    </w:p>
    <w:p w14:paraId="4EAE9D48" w14:textId="77777777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14:paraId="1BD4A14F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 xml:space="preserve">Ademais, ressalto que esta Presidência </w:t>
      </w:r>
      <w:proofErr w:type="gramStart"/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encontra-se</w:t>
      </w:r>
      <w:proofErr w:type="gramEnd"/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 xml:space="preserve"> à disposição para todo e qualquer esclarecimento, bem como aberta ao diálogo republicano e respeitoso, no intuito de assegurar a plena efetividade das funções investigativas da CPI. Todavia, é necessário enfatizar que os encaminhamentos serão realizados em consonância com as decisões colegiadas e dentro dos limites regimentais, não se admitindo que a condução dos trabalhos seja determinada de forma unilateral por qualquer de seus membros, sob pena de comprometer a própria credibilidade e imparcialidade da Comissão.</w:t>
      </w:r>
    </w:p>
    <w:p w14:paraId="473D187C" w14:textId="77777777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14:paraId="0DE11D26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Registre-se, ainda, que a tentativa de atribuir a esta Presidência condutas de obstrução carece de respaldo fático e jurídico, configurando, na prática, uma indevida pressão para que os trabalhos da Comissão sejam conduzidos segundo interesses particulares, e não conforme os princípios que norteiam o processo legislativo.</w:t>
      </w:r>
    </w:p>
    <w:p w14:paraId="1027F4F4" w14:textId="77777777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14:paraId="67ECE651" w14:textId="77777777" w:rsid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 w:rsidRPr="00DE02C0">
        <w:rPr>
          <w:rFonts w:ascii="Times New Roman" w:hAnsi="Times New Roman" w:cs="Times New Roman"/>
          <w:color w:val="001D35"/>
          <w:u w:color="001D35"/>
          <w:lang w:val="pt-BR"/>
        </w:rPr>
        <w:t>Assim, reafirmo que todos os ofícios, requerimentos e deliberações desta Comissão serão processados e encaminhados após análise e decisão em reunião formal do colegiado, assegurando-se a participação de todos os seus integrantes, como forma de preservar a legalidade, a transparência e a integridade da investigação parlamentar.</w:t>
      </w:r>
    </w:p>
    <w:p w14:paraId="064C9BAE" w14:textId="21F13932" w:rsidR="00DE02C0" w:rsidRPr="00DE02C0" w:rsidRDefault="00DE02C0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</w:p>
    <w:p w14:paraId="43FD050D" w14:textId="5A4354CB" w:rsidR="00DE02C0" w:rsidRPr="00DE02C0" w:rsidRDefault="007D7223" w:rsidP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jc w:val="both"/>
        <w:rPr>
          <w:rFonts w:ascii="Times New Roman" w:hAnsi="Times New Roman" w:cs="Times New Roman"/>
          <w:color w:val="001D35"/>
          <w:u w:color="001D35"/>
          <w:lang w:val="pt-BR"/>
        </w:rPr>
      </w:pPr>
      <w:r>
        <w:rPr>
          <w:rFonts w:ascii="Times New Roman" w:eastAsia="Times New Roman" w:hAnsi="Times New Roman" w:cs="Times New Roman"/>
          <w:noProof/>
          <w:color w:val="1F1F1F"/>
          <w:u w:color="1F1F1F"/>
        </w:rPr>
        <w:drawing>
          <wp:anchor distT="152400" distB="152400" distL="152400" distR="152400" simplePos="0" relativeHeight="251659264" behindDoc="1" locked="0" layoutInCell="1" allowOverlap="1" wp14:anchorId="62388563" wp14:editId="6418E3CF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2038350" cy="840105"/>
            <wp:effectExtent l="0" t="0" r="0" b="0"/>
            <wp:wrapNone/>
            <wp:docPr id="1073741827" name="officeArt object" descr="IMG_39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3913.jpg" descr="IMG_391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401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E02C0" w:rsidRPr="00DE02C0">
        <w:rPr>
          <w:rFonts w:ascii="Times New Roman" w:hAnsi="Times New Roman" w:cs="Times New Roman"/>
          <w:color w:val="001D35"/>
          <w:u w:color="001D35"/>
          <w:lang w:val="pt-BR"/>
        </w:rPr>
        <w:t>Atenciosamente,</w:t>
      </w:r>
    </w:p>
    <w:p w14:paraId="5CB7AF51" w14:textId="3FEF4BFF" w:rsidR="00DE02C0" w:rsidRDefault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0DCDB056" w14:textId="2CF94A81" w:rsidR="00DE02C0" w:rsidRDefault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26F29B06" w14:textId="3E434F5A" w:rsidR="00DE02C0" w:rsidRDefault="00DE02C0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color w:val="1F1F1F"/>
          <w:u w:color="1F1F1F"/>
          <w:lang w:val="pt-BR"/>
        </w:rPr>
      </w:pPr>
    </w:p>
    <w:p w14:paraId="08CBFE70" w14:textId="4876A25A" w:rsidR="009E4FCA" w:rsidRPr="00B87609" w:rsidRDefault="00000000" w:rsidP="007D7223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u w:color="001D35"/>
          <w:lang w:val="pt-BR"/>
        </w:rPr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João Vitor Martis</w:t>
      </w:r>
    </w:p>
    <w:p w14:paraId="57AB5068" w14:textId="29E863E7" w:rsidR="009E4FCA" w:rsidRDefault="00000000" w:rsidP="007D7223">
      <w:pPr>
        <w:pStyle w:val="Padr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</w:pPr>
      <w:r>
        <w:rPr>
          <w:rFonts w:ascii="Times New Roman" w:hAnsi="Times New Roman"/>
          <w:b/>
          <w:bCs/>
          <w:color w:val="001D35"/>
          <w:u w:color="001D35"/>
          <w:lang w:val="pt-PT"/>
        </w:rPr>
        <w:t>PRESIDENTE</w:t>
      </w:r>
    </w:p>
    <w:sectPr w:rsidR="009E4FCA">
      <w:headerReference w:type="default" r:id="rId7"/>
      <w:footerReference w:type="default" r:id="rId8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19BE" w14:textId="77777777" w:rsidR="00DF0C5D" w:rsidRDefault="00DF0C5D">
      <w:r>
        <w:separator/>
      </w:r>
    </w:p>
  </w:endnote>
  <w:endnote w:type="continuationSeparator" w:id="0">
    <w:p w14:paraId="42A4473E" w14:textId="77777777" w:rsidR="00DF0C5D" w:rsidRDefault="00DF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6DDE" w14:textId="77777777" w:rsidR="009E4FCA" w:rsidRDefault="00000000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20DA4AE" w14:textId="77777777" w:rsidR="009E4FCA" w:rsidRDefault="009E4FCA">
    <w:pPr>
      <w:pStyle w:val="Rodap"/>
      <w:jc w:val="center"/>
      <w:rPr>
        <w:rFonts w:ascii="Arial" w:eastAsia="Arial" w:hAnsi="Arial" w:cs="Arial"/>
        <w:b/>
        <w:bCs/>
      </w:rPr>
    </w:pPr>
  </w:p>
  <w:p w14:paraId="2073888C" w14:textId="77777777" w:rsidR="009E4FCA" w:rsidRDefault="00000000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0B82" w14:textId="77777777" w:rsidR="00DF0C5D" w:rsidRDefault="00DF0C5D">
      <w:r>
        <w:separator/>
      </w:r>
    </w:p>
  </w:footnote>
  <w:footnote w:type="continuationSeparator" w:id="0">
    <w:p w14:paraId="322364A4" w14:textId="77777777" w:rsidR="00DF0C5D" w:rsidRDefault="00DF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D7C2" w14:textId="77777777" w:rsidR="009E4FCA" w:rsidRDefault="00000000" w:rsidP="007F7CE2">
    <w:pPr>
      <w:pStyle w:val="Cabealho"/>
      <w:ind w:left="1440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8C73D21" wp14:editId="0E810637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6D81CC3" w14:textId="77777777" w:rsidR="009E4FCA" w:rsidRDefault="000000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ACF996" wp14:editId="5DEFC6EF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" filled="f" stroked="f" strokeweight="1pt">
              <v:stroke miterlimit="4"/>
              <v:textbox inset="1.2699mm,1.2699mm,1.2699mm,1.2699mm">
                <w:txbxContent>
                  <w:p w:rsidR="009E4FCA" w:rsidRDefault="000000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7EA024C3" w14:textId="77777777" w:rsidR="009E4FCA" w:rsidRDefault="009E4FC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0AF38BC" w14:textId="77777777" w:rsidR="009E4FCA" w:rsidRDefault="00000000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D2073B7" w14:textId="77777777" w:rsidR="009E4FCA" w:rsidRDefault="00000000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CA"/>
    <w:rsid w:val="00125694"/>
    <w:rsid w:val="001928EA"/>
    <w:rsid w:val="007D7223"/>
    <w:rsid w:val="007F7CE2"/>
    <w:rsid w:val="00945694"/>
    <w:rsid w:val="009E4FCA"/>
    <w:rsid w:val="00A815F1"/>
    <w:rsid w:val="00B77A5F"/>
    <w:rsid w:val="00B87609"/>
    <w:rsid w:val="00DE02C0"/>
    <w:rsid w:val="00D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B251D"/>
  <w15:docId w15:val="{EEBE141C-1FF5-074D-87C0-FAB29BE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3</cp:revision>
  <dcterms:created xsi:type="dcterms:W3CDTF">2025-09-12T14:19:00Z</dcterms:created>
  <dcterms:modified xsi:type="dcterms:W3CDTF">2025-09-12T14:32:00Z</dcterms:modified>
</cp:coreProperties>
</file>